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E8" w:rsidRPr="003603E8" w:rsidRDefault="003603E8" w:rsidP="003603E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'comic sans ms'" w:eastAsia="Times New Roman" w:hAnsi="'comic sans ms'" w:cs="Times New Roman"/>
          <w:sz w:val="20"/>
          <w:szCs w:val="20"/>
          <w:lang w:eastAsia="tr-TR"/>
        </w:rPr>
        <w:t xml:space="preserve">Bakanlık Makamının 05-06-2000 tarih ve 609 sayılı </w:t>
      </w:r>
      <w:proofErr w:type="spellStart"/>
      <w:r w:rsidRPr="003603E8">
        <w:rPr>
          <w:rFonts w:ascii="'comic sans ms'" w:eastAsia="Times New Roman" w:hAnsi="'comic sans ms'" w:cs="Times New Roman"/>
          <w:sz w:val="20"/>
          <w:szCs w:val="20"/>
          <w:lang w:eastAsia="tr-TR"/>
        </w:rPr>
        <w:t>olur'ları</w:t>
      </w:r>
      <w:proofErr w:type="spellEnd"/>
      <w:r w:rsidRPr="003603E8">
        <w:rPr>
          <w:rFonts w:ascii="'comic sans ms'" w:eastAsia="Times New Roman" w:hAnsi="'comic sans ms'" w:cs="Times New Roman"/>
          <w:sz w:val="20"/>
          <w:szCs w:val="20"/>
          <w:lang w:eastAsia="tr-TR"/>
        </w:rPr>
        <w:t xml:space="preserve"> ihraç amaçlı (OECD) üretimlere ait tohumluk beyannamelerinin kabul edilmesi ve onaylanması işlemleri  Tohumluk Tescil ve Sertifikasyon Merkezi Müdürlüğüne (TTSM) devredilmiştir.</w:t>
      </w:r>
    </w:p>
    <w:p w:rsidR="003603E8" w:rsidRPr="003603E8" w:rsidRDefault="003603E8" w:rsidP="003603E8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Trebuchet MS" w:eastAsia="Times New Roman" w:hAnsi="Trebuchet MS" w:cs="Times New Roman"/>
          <w:b/>
          <w:bCs/>
          <w:color w:val="800000"/>
          <w:sz w:val="18"/>
          <w:szCs w:val="18"/>
          <w:lang w:eastAsia="tr-TR"/>
        </w:rPr>
        <w:t>OECD</w:t>
      </w:r>
      <w:r w:rsidRPr="003603E8">
        <w:rPr>
          <w:rFonts w:ascii="Trebuchet MS" w:eastAsia="Times New Roman" w:hAnsi="Trebuchet MS" w:cs="Times New Roman"/>
          <w:sz w:val="18"/>
          <w:szCs w:val="18"/>
          <w:lang w:eastAsia="tr-TR"/>
        </w:rPr>
        <w:t xml:space="preserve"> Sertifikasyon Sistemi </w:t>
      </w:r>
      <w:proofErr w:type="gramStart"/>
      <w:r w:rsidRPr="003603E8">
        <w:rPr>
          <w:rFonts w:ascii="Trebuchet MS" w:eastAsia="Times New Roman" w:hAnsi="Trebuchet MS" w:cs="Times New Roman"/>
          <w:sz w:val="18"/>
          <w:szCs w:val="18"/>
          <w:lang w:eastAsia="tr-TR"/>
        </w:rPr>
        <w:t>Dahilinde</w:t>
      </w:r>
      <w:proofErr w:type="gramEnd"/>
      <w:r w:rsidRPr="003603E8">
        <w:rPr>
          <w:rFonts w:ascii="Trebuchet MS" w:eastAsia="Times New Roman" w:hAnsi="Trebuchet MS" w:cs="Times New Roman"/>
          <w:sz w:val="18"/>
          <w:szCs w:val="18"/>
          <w:lang w:eastAsia="tr-TR"/>
        </w:rPr>
        <w:t xml:space="preserve"> Tohumluk Üretecek Kuruluşların Beyanname verilmesi aşamasında sağlaması gereken şartlar şunlardır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Trebuchet MS" w:eastAsia="Times New Roman" w:hAnsi="Trebuchet MS" w:cs="Times New Roman"/>
          <w:b/>
          <w:bCs/>
          <w:color w:val="800000"/>
          <w:sz w:val="18"/>
          <w:szCs w:val="18"/>
          <w:lang w:eastAsia="tr-TR"/>
        </w:rPr>
        <w:t>Tohumluk Yetiştirici Belgesi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Tohumluk beyannameleri yetiştirici belgesi olan kişi veya kuruluş adına düzenlenecektir Tohumluk üreticileri (sözleşme yaptığı çiftçiler adına "Yetiştirici Belgesi" düzenleyemediğinden) çiftçi adına tohumluk beyannamesi düzenleyemezler.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 xml:space="preserve">Elit ve Orijinal </w:t>
      </w:r>
      <w:proofErr w:type="spellStart"/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tohumluklar</w:t>
      </w:r>
      <w:r w:rsidRPr="003603E8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sadece</w:t>
      </w:r>
      <w:proofErr w:type="spellEnd"/>
      <w:r w:rsidRPr="003603E8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araştırıcı kuruluş unvanı taşıyan kamu ve özel kuruluşlar tarafından üretilebilir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 araştırıcı kuruluş unvanı taşımayan kişi veya kuruluşlara ait Elit sınıftaki beyannameler kesinlikle kabul edilmeyecektir. Orijinal sınıftaki beyannameler ise Sertifikalı sınıfın 1. kademesinde kabul edilecektir.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Tohumluk Sertifikası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 xml:space="preserve">Tohumluk yetiştirmek isteyen kişi veya kuruluşlar, ekeceği tohumluğun sınıfı ve döl kademesini gösteren sertifikasını beyannamelerinin ekinde belgelemek zorundadırlar. (Bu sertifikalar OECD Tohumluk </w:t>
      </w:r>
      <w:proofErr w:type="spellStart"/>
      <w:r w:rsidRPr="003603E8">
        <w:rPr>
          <w:rFonts w:ascii="Arial" w:eastAsia="Times New Roman" w:hAnsi="Arial" w:cs="Arial"/>
          <w:sz w:val="20"/>
          <w:szCs w:val="20"/>
          <w:lang w:eastAsia="tr-TR"/>
        </w:rPr>
        <w:t>Sertifîkasyon</w:t>
      </w:r>
      <w:proofErr w:type="spellEnd"/>
      <w:r w:rsidRPr="003603E8">
        <w:rPr>
          <w:rFonts w:ascii="Arial" w:eastAsia="Times New Roman" w:hAnsi="Arial" w:cs="Arial"/>
          <w:sz w:val="20"/>
          <w:szCs w:val="20"/>
          <w:lang w:eastAsia="tr-TR"/>
        </w:rPr>
        <w:t xml:space="preserve"> Sisteminde OECD Sertifikaları veya OECD üyesi ülkelerden yetkili (</w:t>
      </w:r>
      <w:proofErr w:type="spellStart"/>
      <w:r w:rsidRPr="003603E8">
        <w:rPr>
          <w:rFonts w:ascii="Arial" w:eastAsia="Times New Roman" w:hAnsi="Arial" w:cs="Arial"/>
          <w:sz w:val="20"/>
          <w:szCs w:val="20"/>
          <w:lang w:eastAsia="tr-TR"/>
        </w:rPr>
        <w:t>Designeted</w:t>
      </w:r>
      <w:proofErr w:type="spellEnd"/>
      <w:r w:rsidRPr="003603E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3603E8">
        <w:rPr>
          <w:rFonts w:ascii="Arial" w:eastAsia="Times New Roman" w:hAnsi="Arial" w:cs="Arial"/>
          <w:sz w:val="20"/>
          <w:szCs w:val="20"/>
          <w:lang w:eastAsia="tr-TR"/>
        </w:rPr>
        <w:t>authority</w:t>
      </w:r>
      <w:proofErr w:type="spellEnd"/>
      <w:r w:rsidRPr="003603E8">
        <w:rPr>
          <w:rFonts w:ascii="Arial" w:eastAsia="Times New Roman" w:hAnsi="Arial" w:cs="Arial"/>
          <w:sz w:val="20"/>
          <w:szCs w:val="20"/>
          <w:lang w:eastAsia="tr-TR"/>
        </w:rPr>
        <w:t>) tarafından verilmiş yurtiçi sertifikalan.)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Beyannamede belirtilen ekilen tohumluk miktarları, ilgili sertifikalarında belirtilen tohumluk partisinin ağırlığından fazla olmamalıdır.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Tohumluk Beyannamelerinin Doldurulması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proofErr w:type="spellStart"/>
      <w:r w:rsidRPr="003603E8">
        <w:rPr>
          <w:rFonts w:ascii="Arial" w:eastAsia="Times New Roman" w:hAnsi="Arial" w:cs="Arial"/>
          <w:sz w:val="20"/>
          <w:szCs w:val="20"/>
          <w:lang w:eastAsia="tr-TR"/>
        </w:rPr>
        <w:t>Hibrit</w:t>
      </w:r>
      <w:proofErr w:type="spellEnd"/>
      <w:r w:rsidRPr="003603E8">
        <w:rPr>
          <w:rFonts w:ascii="Arial" w:eastAsia="Times New Roman" w:hAnsi="Arial" w:cs="Arial"/>
          <w:sz w:val="20"/>
          <w:szCs w:val="20"/>
          <w:lang w:eastAsia="tr-TR"/>
        </w:rPr>
        <w:t xml:space="preserve"> Olmayan Çeşitler  için (Form 19), 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proofErr w:type="spellStart"/>
      <w:r w:rsidRPr="003603E8">
        <w:rPr>
          <w:rFonts w:ascii="Arial" w:eastAsia="Times New Roman" w:hAnsi="Arial" w:cs="Arial"/>
          <w:sz w:val="20"/>
          <w:szCs w:val="20"/>
          <w:lang w:eastAsia="tr-TR"/>
        </w:rPr>
        <w:t>Hibrit</w:t>
      </w:r>
      <w:proofErr w:type="spellEnd"/>
      <w:r w:rsidRPr="003603E8">
        <w:rPr>
          <w:rFonts w:ascii="Arial" w:eastAsia="Times New Roman" w:hAnsi="Arial" w:cs="Arial"/>
          <w:sz w:val="20"/>
          <w:szCs w:val="20"/>
          <w:lang w:eastAsia="tr-TR"/>
        </w:rPr>
        <w:t xml:space="preserve"> Çeşitler için (Form 20) 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Pancar Tohumlukları için  (Form 21) kullanılacaktır.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Tohumluk beyannameleri 3 nüsha olarak düzenlenir.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Hastalık yönünden kontrol isteniyorsa bir nüsha daha eklenerek başvuru 4 nüsha tohumluk beyannamesiyle yapılmalıdır.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Beyannamedeki "Tohumluğun cinsi ve çeşidi" bölümüne 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tohumluğun ait olduğu tür adı ve çeşidin OECD listesindeki ve/veya tescil edildiği OECD üyesi ülkedeki tescilli adının doğru olarak yazılması gereklidir. 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OECD listesinde adı olmayan çeşidin bir OECD üyesi ülke tarafından tescil edilerek milli listesinde yayınlandığı belgelenmelidir.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 xml:space="preserve">Beyannamedeki "Ekilen Tohumluğun Sınıfı ve </w:t>
      </w:r>
      <w:proofErr w:type="gramStart"/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Döl</w:t>
      </w:r>
      <w:proofErr w:type="gramEnd"/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 xml:space="preserve"> Kademesi" bölümünde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 tohumluğun ait olduğu sınıf ve döl kademesi Beyanname ile birlikte verilmesi gereken sertifikadaki ile mutlaka aynı olmalıdır.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proofErr w:type="spellStart"/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Herbir</w:t>
      </w:r>
      <w:proofErr w:type="spellEnd"/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 xml:space="preserve"> tohumluk üretim tarlası parseli ve farklı çeşitleri için beyannameler ayrı ayrı düzenlenmelidir.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Damga Vergisi.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Beyannamelerde damga pulu yapıştırılması uygulaması 2005 yılı itibariyle sona ermiştir.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Tohumluk beyannamesindeki tüm sorular yetiştirici tarafından açık ve tam olarak cevaplanacaktır. 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Kroki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Tohumluk ekim alanlarının bölgesel krokileri çıkarılmalı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Tohumluk üretim alanları bu krokilere işaretlenerek beyannamelere eklenmelidir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Bitki Özellik Belgesi 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Üretimi yapılacak çeşide ait Bitki özellik belgesi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lastRenderedPageBreak/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proofErr w:type="spellStart"/>
      <w:r w:rsidRPr="003603E8">
        <w:rPr>
          <w:rFonts w:ascii="Arial" w:eastAsia="Times New Roman" w:hAnsi="Arial" w:cs="Arial"/>
          <w:sz w:val="20"/>
          <w:szCs w:val="20"/>
          <w:lang w:eastAsia="tr-TR"/>
        </w:rPr>
        <w:t>Hibrit</w:t>
      </w:r>
      <w:proofErr w:type="spellEnd"/>
      <w:r w:rsidRPr="003603E8">
        <w:rPr>
          <w:rFonts w:ascii="Arial" w:eastAsia="Times New Roman" w:hAnsi="Arial" w:cs="Arial"/>
          <w:sz w:val="20"/>
          <w:szCs w:val="20"/>
          <w:lang w:eastAsia="tr-TR"/>
        </w:rPr>
        <w:t xml:space="preserve"> Çeşitlerde Ebeveyn Hatlara ait Bitki Özellik Belgesi 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Başvuru bir Dilekçe  ile TTSM Müdürlüğüne yapılmalıdır.</w:t>
      </w:r>
    </w:p>
    <w:p w:rsidR="003603E8" w:rsidRPr="003603E8" w:rsidRDefault="003603E8" w:rsidP="003603E8">
      <w:pPr>
        <w:spacing w:before="75" w:after="0" w:line="240" w:lineRule="auto"/>
        <w:ind w:left="72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Trebuchet MS" w:eastAsia="Times New Roman" w:hAnsi="Trebuchet MS" w:cs="Times New Roman"/>
          <w:sz w:val="18"/>
          <w:szCs w:val="18"/>
          <w:lang w:eastAsia="tr-TR"/>
        </w:rPr>
        <w:t xml:space="preserve">  </w:t>
      </w:r>
    </w:p>
    <w:p w:rsidR="003603E8" w:rsidRPr="003603E8" w:rsidRDefault="003603E8" w:rsidP="003603E8">
      <w:pPr>
        <w:spacing w:before="75" w:after="0" w:line="240" w:lineRule="auto"/>
        <w:ind w:left="72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Symbol" w:eastAsia="Times New Roman" w:hAnsi="Symbol" w:cs="Times New Roman"/>
          <w:sz w:val="20"/>
          <w:szCs w:val="20"/>
          <w:lang w:eastAsia="tr-TR"/>
        </w:rPr>
        <w:t></w:t>
      </w:r>
      <w:r w:rsidRPr="003603E8">
        <w:rPr>
          <w:rFonts w:ascii="'times new roman'" w:eastAsia="Times New Roman" w:hAnsi="'times new roman'" w:cs="Times New Roman"/>
          <w:sz w:val="14"/>
          <w:szCs w:val="14"/>
          <w:lang w:eastAsia="tr-TR"/>
        </w:rPr>
        <w:t xml:space="preserve">         </w:t>
      </w:r>
      <w:r w:rsidRPr="003603E8">
        <w:rPr>
          <w:rFonts w:ascii="Arial" w:eastAsia="Times New Roman" w:hAnsi="Arial" w:cs="Arial"/>
          <w:b/>
          <w:bCs/>
          <w:color w:val="800000"/>
          <w:sz w:val="20"/>
          <w:szCs w:val="20"/>
          <w:lang w:eastAsia="tr-TR"/>
        </w:rPr>
        <w:t>Başvuru Tarihi 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 xml:space="preserve">Arpa, Buğday, Yulaf,  Çavdar, </w:t>
      </w:r>
      <w:proofErr w:type="spellStart"/>
      <w:r w:rsidRPr="003603E8">
        <w:rPr>
          <w:rFonts w:ascii="Arial" w:eastAsia="Times New Roman" w:hAnsi="Arial" w:cs="Arial"/>
          <w:sz w:val="20"/>
          <w:szCs w:val="20"/>
          <w:lang w:eastAsia="tr-TR"/>
        </w:rPr>
        <w:t>Tritikale</w:t>
      </w:r>
      <w:proofErr w:type="spellEnd"/>
      <w:r w:rsidRPr="003603E8">
        <w:rPr>
          <w:rFonts w:ascii="Arial" w:eastAsia="Times New Roman" w:hAnsi="Arial" w:cs="Arial"/>
          <w:sz w:val="20"/>
          <w:szCs w:val="20"/>
          <w:lang w:eastAsia="tr-TR"/>
        </w:rPr>
        <w:t xml:space="preserve"> türlerinde  aşağıdaki tabloda belirtilen tarihlerde,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888"/>
        <w:gridCol w:w="3638"/>
      </w:tblGrid>
      <w:tr w:rsidR="003603E8" w:rsidRPr="003603E8" w:rsidTr="003603E8"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 Adı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Bölgesi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Beyannamelerin İlgili Müdürlüklerde bulunması Gerektiği Son Tarih</w:t>
            </w:r>
          </w:p>
        </w:tc>
      </w:tr>
      <w:tr w:rsidR="003603E8" w:rsidRPr="003603E8" w:rsidTr="003603E8">
        <w:trPr>
          <w:cantSplit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Arpa, Buğday, Yulaf, Çavdar, </w:t>
            </w:r>
            <w:proofErr w:type="spellStart"/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Tritikale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 Mart</w:t>
            </w:r>
          </w:p>
        </w:tc>
      </w:tr>
      <w:tr w:rsidR="003603E8" w:rsidRPr="003603E8" w:rsidTr="003603E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3E8" w:rsidRPr="003603E8" w:rsidRDefault="003603E8" w:rsidP="0036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 Nisan</w:t>
            </w:r>
          </w:p>
        </w:tc>
      </w:tr>
      <w:tr w:rsidR="003603E8" w:rsidRPr="003603E8" w:rsidTr="003603E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3E8" w:rsidRPr="003603E8" w:rsidRDefault="003603E8" w:rsidP="0036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Güney Doğu Anadolu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 Nisan</w:t>
            </w:r>
          </w:p>
        </w:tc>
      </w:tr>
      <w:tr w:rsidR="003603E8" w:rsidRPr="003603E8" w:rsidTr="003603E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3E8" w:rsidRPr="003603E8" w:rsidRDefault="003603E8" w:rsidP="0036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 Anadolu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Mayıs</w:t>
            </w:r>
          </w:p>
        </w:tc>
      </w:tr>
      <w:tr w:rsidR="003603E8" w:rsidRPr="003603E8" w:rsidTr="003603E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3E8" w:rsidRPr="003603E8" w:rsidRDefault="003603E8" w:rsidP="0036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Anadolu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Nisan</w:t>
            </w:r>
          </w:p>
        </w:tc>
      </w:tr>
      <w:tr w:rsidR="003603E8" w:rsidRPr="003603E8" w:rsidTr="003603E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3E8" w:rsidRPr="003603E8" w:rsidRDefault="003603E8" w:rsidP="0036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Nisan</w:t>
            </w:r>
          </w:p>
        </w:tc>
      </w:tr>
      <w:tr w:rsidR="003603E8" w:rsidRPr="003603E8" w:rsidTr="003603E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3E8" w:rsidRPr="003603E8" w:rsidRDefault="003603E8" w:rsidP="0036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Trakya ve Marmara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 Nisan</w:t>
            </w:r>
          </w:p>
        </w:tc>
      </w:tr>
      <w:tr w:rsidR="003603E8" w:rsidRPr="003603E8" w:rsidTr="003603E8">
        <w:trPr>
          <w:cantSplit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Bitki Türleri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Tüm Bölgelerde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3E8" w:rsidRPr="003603E8" w:rsidRDefault="003603E8" w:rsidP="0036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3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Ekim tarihinden itibaren otuz (30) gün içinde ilgili kuruluşta olmalıdır.</w:t>
            </w:r>
          </w:p>
        </w:tc>
      </w:tr>
    </w:tbl>
    <w:p w:rsidR="003603E8" w:rsidRPr="003603E8" w:rsidRDefault="003603E8" w:rsidP="003603E8">
      <w:pPr>
        <w:spacing w:before="75" w:after="0" w:line="240" w:lineRule="auto"/>
        <w:ind w:left="108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3603E8">
        <w:rPr>
          <w:rFonts w:ascii="Trebuchet MS" w:eastAsia="Times New Roman" w:hAnsi="Trebuchet MS" w:cs="Times New Roman"/>
          <w:sz w:val="18"/>
          <w:szCs w:val="18"/>
          <w:lang w:eastAsia="tr-TR"/>
        </w:rPr>
        <w:t> </w:t>
      </w:r>
    </w:p>
    <w:p w:rsidR="003603E8" w:rsidRPr="003603E8" w:rsidRDefault="003603E8" w:rsidP="003603E8">
      <w:pPr>
        <w:spacing w:before="75" w:after="0" w:line="240" w:lineRule="auto"/>
        <w:ind w:left="1440" w:hanging="360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proofErr w:type="gramStart"/>
      <w:r w:rsidRPr="003603E8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gramEnd"/>
      <w:r w:rsidRPr="003603E8">
        <w:rPr>
          <w:rFonts w:ascii="'times new roman'" w:eastAsia="Times New Roman" w:hAnsi="'times new roman'" w:cs="Courier New"/>
          <w:sz w:val="14"/>
          <w:szCs w:val="14"/>
          <w:lang w:eastAsia="tr-TR"/>
        </w:rPr>
        <w:t xml:space="preserve">        </w:t>
      </w:r>
      <w:r w:rsidRPr="003603E8">
        <w:rPr>
          <w:rFonts w:ascii="Arial" w:eastAsia="Times New Roman" w:hAnsi="Arial" w:cs="Arial"/>
          <w:sz w:val="20"/>
          <w:szCs w:val="20"/>
          <w:lang w:eastAsia="tr-TR"/>
        </w:rPr>
        <w:t>Diğer bitki türlerinde tohumluğun ekiliş tarihinden sonra en geç 1 ay içinde başvuru yapılmalıdır.</w:t>
      </w:r>
    </w:p>
    <w:p w:rsidR="003603E8" w:rsidRPr="003603E8" w:rsidRDefault="003603E8" w:rsidP="0036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03E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B4105" w:rsidRPr="003603E8" w:rsidRDefault="00EB4105" w:rsidP="003603E8">
      <w:bookmarkStart w:id="0" w:name="_GoBack"/>
      <w:bookmarkEnd w:id="0"/>
    </w:p>
    <w:sectPr w:rsidR="00EB4105" w:rsidRPr="0036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'comic sans ms'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00"/>
    <w:rsid w:val="00073900"/>
    <w:rsid w:val="003603E8"/>
    <w:rsid w:val="00E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8ABF1-D8C5-41C0-993B-235F1034CDCC}"/>
</file>

<file path=customXml/itemProps2.xml><?xml version="1.0" encoding="utf-8"?>
<ds:datastoreItem xmlns:ds="http://schemas.openxmlformats.org/officeDocument/2006/customXml" ds:itemID="{6D116485-A66E-4F35-809E-F31F4BA566A1}"/>
</file>

<file path=customXml/itemProps3.xml><?xml version="1.0" encoding="utf-8"?>
<ds:datastoreItem xmlns:ds="http://schemas.openxmlformats.org/officeDocument/2006/customXml" ds:itemID="{3E572606-7655-4CF6-AD52-C9F3C4299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2</cp:revision>
  <dcterms:created xsi:type="dcterms:W3CDTF">2014-06-19T06:36:00Z</dcterms:created>
  <dcterms:modified xsi:type="dcterms:W3CDTF">2014-06-19T06:37:00Z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