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09" w:rsidRPr="00451BD7" w:rsidRDefault="00DA6109" w:rsidP="00DA6109">
      <w:pPr>
        <w:spacing w:line="240" w:lineRule="auto"/>
        <w:jc w:val="center"/>
        <w:rPr>
          <w:rFonts w:ascii="Times New Roman" w:hAnsi="Times New Roman" w:cs="Times New Roman"/>
          <w:b/>
          <w:sz w:val="28"/>
          <w:szCs w:val="28"/>
        </w:rPr>
      </w:pPr>
      <w:r w:rsidRPr="00451BD7">
        <w:rPr>
          <w:rFonts w:ascii="Times New Roman" w:hAnsi="Times New Roman" w:cs="Times New Roman"/>
          <w:b/>
          <w:sz w:val="28"/>
          <w:szCs w:val="28"/>
        </w:rPr>
        <w:t>BİRLEŞMİŞ MİLLETLER ÇÖLLEŞME İLE MÜCADELE SÖZLEŞMESİ</w:t>
      </w:r>
    </w:p>
    <w:p w:rsidR="00DA6109" w:rsidRPr="00451BD7" w:rsidRDefault="00DA6109" w:rsidP="00DA6109">
      <w:pPr>
        <w:pStyle w:val="Default"/>
        <w:jc w:val="both"/>
      </w:pPr>
      <w:r w:rsidRPr="00451BD7">
        <w:rPr>
          <w:b/>
        </w:rPr>
        <w:t>Çölleşme;</w:t>
      </w:r>
      <w:r w:rsidRPr="00451BD7">
        <w:t xml:space="preserve"> kurak, yarı-kurak ve yarı nemli alanlarda, iklim değişiklikleri ve insan faaliyetleri de </w:t>
      </w:r>
      <w:proofErr w:type="gramStart"/>
      <w:r w:rsidRPr="00451BD7">
        <w:t>dahil</w:t>
      </w:r>
      <w:proofErr w:type="gramEnd"/>
      <w:r w:rsidRPr="00451BD7">
        <w:t xml:space="preserve"> olmak üzere çeşitli faktörlerden (fiziksel, kimyasal, biyolojik, siyasi, kültürel, ekonomik vb.) kaynaklanan arazi bozulmasını ifade etmektedir. </w:t>
      </w:r>
    </w:p>
    <w:p w:rsidR="00DA6109" w:rsidRPr="00451BD7" w:rsidRDefault="00DA6109" w:rsidP="00DA6109">
      <w:pPr>
        <w:pStyle w:val="Default"/>
        <w:jc w:val="both"/>
      </w:pPr>
      <w:bookmarkStart w:id="0" w:name="_GoBack"/>
      <w:bookmarkEnd w:id="0"/>
    </w:p>
    <w:p w:rsidR="00DA6109" w:rsidRPr="00451BD7" w:rsidRDefault="00DA6109" w:rsidP="00DA6109">
      <w:pPr>
        <w:pStyle w:val="Default"/>
        <w:jc w:val="both"/>
      </w:pPr>
      <w:r w:rsidRPr="00451BD7">
        <w:rPr>
          <w:b/>
        </w:rPr>
        <w:t xml:space="preserve">Çölleşme ile Mücadele; </w:t>
      </w:r>
      <w:r w:rsidRPr="00451BD7">
        <w:t xml:space="preserve">arazi bozulmasını önlemeye, azaltmaya ve/veya dengelemeye, kısmen bozulmuş arazinin </w:t>
      </w:r>
      <w:proofErr w:type="gramStart"/>
      <w:r w:rsidRPr="00451BD7">
        <w:t>rehabilitasyonuna</w:t>
      </w:r>
      <w:proofErr w:type="gramEnd"/>
      <w:r w:rsidRPr="00451BD7">
        <w:t xml:space="preserve"> ve çölleşmiş arazinin geri kazanımına yönelik yapılan teknik, sosyo-ekonomik, yönetimsel ve yasal faaliyetleri içerir.</w:t>
      </w:r>
    </w:p>
    <w:p w:rsidR="00DA6109" w:rsidRPr="00451BD7" w:rsidRDefault="00DA6109" w:rsidP="00DA6109">
      <w:pPr>
        <w:pStyle w:val="Default"/>
        <w:jc w:val="both"/>
      </w:pPr>
    </w:p>
    <w:p w:rsidR="00DA6109" w:rsidRPr="00451BD7" w:rsidRDefault="00DA6109" w:rsidP="00DA6109">
      <w:pPr>
        <w:pStyle w:val="Default"/>
        <w:jc w:val="both"/>
      </w:pPr>
      <w:r w:rsidRPr="00451BD7">
        <w:t>Kurak, yarı-kurak ve yarı nemli alanların toplamı yeryüzündeki arazi yüz ölçümünün büyük bir bölümünü oluşturmaktadır ve bu alanlar dünya nüfusunun büyük bir kesiminin yaşam alanı ve geçim kaynağıdır.</w:t>
      </w:r>
      <w:r w:rsidRPr="00451BD7">
        <w:rPr>
          <w:color w:val="565656"/>
          <w:sz w:val="20"/>
          <w:szCs w:val="20"/>
        </w:rPr>
        <w:t xml:space="preserve"> </w:t>
      </w:r>
      <w:r w:rsidRPr="00451BD7">
        <w:t>Dünyada 250 milyondan fazla insan doğrudan çölleşme ve kuraklıktan etkilenmektedir ve 4 milyar hektardan fazla arazi çölleşme tehdidi altındadır. Arazi bozulumu 1,5 milyar insanın sağlığını ve yaşamını direk olarak etkilemektedir.  Dünyada arazi bozunumu ve çölleşmenin ekonomiye verdiği yıllık zarar 490 milyar dolardır ve arazi bozulumu ile mücadele faaliyetlerinin maliyetinin çok üstündedir.</w:t>
      </w:r>
    </w:p>
    <w:p w:rsidR="00DA6109" w:rsidRPr="00451BD7" w:rsidRDefault="00DA6109" w:rsidP="00DA6109">
      <w:pPr>
        <w:pStyle w:val="Default"/>
        <w:jc w:val="both"/>
        <w:rPr>
          <w:b/>
        </w:rPr>
      </w:pPr>
    </w:p>
    <w:p w:rsidR="00DA6109" w:rsidRPr="00451BD7" w:rsidRDefault="00DA6109" w:rsidP="00DA6109">
      <w:pPr>
        <w:autoSpaceDE w:val="0"/>
        <w:autoSpaceDN w:val="0"/>
        <w:adjustRightInd w:val="0"/>
        <w:spacing w:line="240" w:lineRule="auto"/>
        <w:jc w:val="both"/>
        <w:rPr>
          <w:rFonts w:ascii="Times New Roman" w:hAnsi="Times New Roman" w:cs="Times New Roman"/>
          <w:sz w:val="24"/>
          <w:szCs w:val="24"/>
        </w:rPr>
      </w:pPr>
      <w:r w:rsidRPr="00451BD7">
        <w:rPr>
          <w:rFonts w:ascii="Times New Roman" w:hAnsi="Times New Roman" w:cs="Times New Roman"/>
          <w:color w:val="000000"/>
          <w:sz w:val="24"/>
          <w:szCs w:val="24"/>
        </w:rPr>
        <w:t>Çevrenin sürekli ve yoğun bir şekilde tahrip edilmesi ve diğer ekosistem hizmetlerinin buna bağlı olarak kayba uğraması ile ulusal ve uluslararası düzeyde kamu güvenliğinin tehlikeye girmesi tüm uluslararası topluluk ve kuruluşların dikkatini çekmiş durumdadır</w:t>
      </w:r>
      <w:r w:rsidRPr="00451BD7">
        <w:rPr>
          <w:rFonts w:ascii="Times New Roman" w:hAnsi="Times New Roman" w:cs="Times New Roman"/>
          <w:sz w:val="24"/>
          <w:szCs w:val="24"/>
        </w:rPr>
        <w:t>.</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1992 yılında 108’i devlet başkanlığı düzeyinde olmak üzere 172 ülkenin katılımıyla Rio Zirvesi gerçekleştirilmiştir. Sürdürülebilirlik olgusunun ön plana çıktığı Zirve’de 21. yüzyıl için yol haritası niteliğinde 3 sözleşme imzaya açılmıştır. Bunlar:</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İklim Değişikliği Çerçeve Sözleşmesi (UNFCC)</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Biyolojik Çeşitlilik Sözleşmesi (UNCBD)</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Çölleşme ile Mücadele Sözleşmesi (UNCCD)</w:t>
      </w:r>
    </w:p>
    <w:p w:rsidR="00DA6109" w:rsidRPr="00451BD7" w:rsidRDefault="00DA6109" w:rsidP="00DA6109">
      <w:pPr>
        <w:pStyle w:val="Default"/>
        <w:jc w:val="center"/>
        <w:rPr>
          <w:b/>
        </w:rPr>
      </w:pPr>
    </w:p>
    <w:p w:rsidR="00DA6109" w:rsidRPr="00451BD7" w:rsidRDefault="00DA6109" w:rsidP="00DA6109">
      <w:pPr>
        <w:spacing w:line="240" w:lineRule="auto"/>
        <w:jc w:val="both"/>
        <w:rPr>
          <w:rFonts w:ascii="Times New Roman" w:hAnsi="Times New Roman" w:cs="Times New Roman"/>
          <w:b/>
          <w:sz w:val="28"/>
          <w:szCs w:val="28"/>
        </w:rPr>
      </w:pPr>
      <w:r w:rsidRPr="00451BD7">
        <w:rPr>
          <w:rFonts w:ascii="Times New Roman" w:hAnsi="Times New Roman" w:cs="Times New Roman"/>
          <w:b/>
          <w:sz w:val="28"/>
          <w:szCs w:val="28"/>
        </w:rPr>
        <w:t>1. Birleşmiş Milletler Çölleşme ile Mücadele Sözleşmesi</w:t>
      </w:r>
    </w:p>
    <w:p w:rsidR="00DA6109" w:rsidRPr="00451BD7" w:rsidRDefault="00DA6109" w:rsidP="00DA6109">
      <w:pPr>
        <w:pStyle w:val="ListeParagraf"/>
        <w:numPr>
          <w:ilvl w:val="1"/>
          <w:numId w:val="1"/>
        </w:numPr>
        <w:spacing w:line="240" w:lineRule="auto"/>
        <w:rPr>
          <w:rFonts w:ascii="Times New Roman" w:hAnsi="Times New Roman" w:cs="Times New Roman"/>
          <w:b/>
          <w:sz w:val="24"/>
          <w:szCs w:val="24"/>
        </w:rPr>
      </w:pPr>
      <w:r w:rsidRPr="00451BD7">
        <w:rPr>
          <w:rFonts w:ascii="Times New Roman" w:hAnsi="Times New Roman" w:cs="Times New Roman"/>
          <w:b/>
          <w:sz w:val="24"/>
          <w:szCs w:val="24"/>
        </w:rPr>
        <w:t>Konunun Geçmişi</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BM Çölleşme ile Mücadele Sözleşmesi 17 Haziran 1994 yılında Paris’te kabul edilmiştir. Sözleşme 115 ülkenin imzalamasıyla 26 Aralık 1996’da yürürlüğe girmiştir. Bu güne kadar 195 ülke ve Avrupa Birliği sözleşmeye taraftır.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Ülkemiz, 11 Şubat 1998 tarih ve 23258 sayılı Resmi </w:t>
      </w:r>
      <w:proofErr w:type="spellStart"/>
      <w:r w:rsidRPr="00451BD7">
        <w:rPr>
          <w:rFonts w:ascii="Times New Roman" w:eastAsia="Times New Roman" w:hAnsi="Times New Roman" w:cs="Times New Roman"/>
          <w:sz w:val="24"/>
          <w:szCs w:val="24"/>
          <w:lang w:eastAsia="tr-TR"/>
        </w:rPr>
        <w:t>Gazete’de</w:t>
      </w:r>
      <w:proofErr w:type="spellEnd"/>
      <w:r w:rsidRPr="00451BD7">
        <w:rPr>
          <w:rFonts w:ascii="Times New Roman" w:eastAsia="Times New Roman" w:hAnsi="Times New Roman" w:cs="Times New Roman"/>
          <w:sz w:val="24"/>
          <w:szCs w:val="24"/>
          <w:lang w:eastAsia="tr-TR"/>
        </w:rPr>
        <w:t xml:space="preserve"> yayımlanan 4340 sayılı Yasa ile sözleşmeye taraf olmuştur. Sözleşme;  40 maddeden oluşmakta, özelikle Afrika ülkelerindeki çölleşme sorunundan hareketle </w:t>
      </w:r>
      <w:proofErr w:type="gramStart"/>
      <w:r w:rsidRPr="00451BD7">
        <w:rPr>
          <w:rFonts w:ascii="Times New Roman" w:eastAsia="Times New Roman" w:hAnsi="Times New Roman" w:cs="Times New Roman"/>
          <w:sz w:val="24"/>
          <w:szCs w:val="24"/>
          <w:lang w:eastAsia="tr-TR"/>
        </w:rPr>
        <w:t>global</w:t>
      </w:r>
      <w:proofErr w:type="gramEnd"/>
      <w:r w:rsidRPr="00451BD7">
        <w:rPr>
          <w:rFonts w:ascii="Times New Roman" w:eastAsia="Times New Roman" w:hAnsi="Times New Roman" w:cs="Times New Roman"/>
          <w:sz w:val="24"/>
          <w:szCs w:val="24"/>
          <w:lang w:eastAsia="tr-TR"/>
        </w:rPr>
        <w:t xml:space="preserve"> düzeyde bu sorunun tespiti ve çözüm yollarının bulunması için ortak hareketi öngörmekte ve ülkeleri 5 ayrı EK ile sınıflandırmaktadır. Bu ekler; </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Afrika Ülkeleri (EK-I)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Asya Ülkeleri (EK-II)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Latin Amerika ve </w:t>
      </w:r>
      <w:proofErr w:type="spellStart"/>
      <w:r w:rsidRPr="00451BD7">
        <w:rPr>
          <w:rFonts w:ascii="Times New Roman" w:eastAsia="Times New Roman" w:hAnsi="Times New Roman" w:cs="Times New Roman"/>
          <w:sz w:val="24"/>
          <w:szCs w:val="24"/>
          <w:lang w:eastAsia="tr-TR"/>
        </w:rPr>
        <w:t>Karayip</w:t>
      </w:r>
      <w:proofErr w:type="spellEnd"/>
      <w:r w:rsidRPr="00451BD7">
        <w:rPr>
          <w:rFonts w:ascii="Times New Roman" w:eastAsia="Times New Roman" w:hAnsi="Times New Roman" w:cs="Times New Roman"/>
          <w:sz w:val="24"/>
          <w:szCs w:val="24"/>
          <w:lang w:eastAsia="tr-TR"/>
        </w:rPr>
        <w:t xml:space="preserve"> Ülkeleri (EK-III)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Kuzey Akdeniz Ülkeleri (EK-IV)</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Orta ve Güney Avrupa Ülkeleri (EK-V)</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lastRenderedPageBreak/>
        <w:t xml:space="preserve">Türkiye, taraf olduğu tarihten itibaren Sözleşmenin IV üncü Eki olan “Kuzey Akdeniz Bölgesel Uygulama Eki” </w:t>
      </w:r>
      <w:r w:rsidRPr="00451BD7">
        <w:rPr>
          <w:rFonts w:ascii="Times New Roman" w:eastAsia="Times New Roman" w:hAnsi="Times New Roman" w:cs="Times New Roman"/>
          <w:i/>
          <w:sz w:val="24"/>
          <w:szCs w:val="24"/>
          <w:lang w:eastAsia="tr-TR"/>
        </w:rPr>
        <w:t xml:space="preserve">(Türkiye, Arnavutluk, Hırvatistan, Kıbrıs (Kıbrıs Rum Kesimi), Yunanistan, Macaristan, İsrail, İtalya, Malta, Portekiz, İspanya ve Slovenya) </w:t>
      </w:r>
      <w:r w:rsidRPr="00451BD7">
        <w:rPr>
          <w:rFonts w:ascii="Times New Roman" w:eastAsia="Times New Roman" w:hAnsi="Times New Roman" w:cs="Times New Roman"/>
          <w:sz w:val="24"/>
          <w:szCs w:val="24"/>
          <w:lang w:eastAsia="tr-TR"/>
        </w:rPr>
        <w:t>çalışmalarında aktif olarak yer almaktadır.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Diğer yandan BM Siyasi Bölge Grupları aşağıda yer almaktadır.</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Afrika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Asya-Pasifik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Doğu Avrupa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Latin Amerika ve </w:t>
      </w:r>
      <w:proofErr w:type="spellStart"/>
      <w:r w:rsidRPr="00451BD7">
        <w:rPr>
          <w:rFonts w:ascii="Times New Roman" w:eastAsia="Times New Roman" w:hAnsi="Times New Roman" w:cs="Times New Roman"/>
          <w:sz w:val="24"/>
          <w:szCs w:val="24"/>
          <w:lang w:eastAsia="tr-TR"/>
        </w:rPr>
        <w:t>Karayip</w:t>
      </w:r>
      <w:proofErr w:type="spellEnd"/>
      <w:r w:rsidRPr="00451BD7">
        <w:rPr>
          <w:rFonts w:ascii="Times New Roman" w:eastAsia="Times New Roman" w:hAnsi="Times New Roman" w:cs="Times New Roman"/>
          <w:sz w:val="24"/>
          <w:szCs w:val="24"/>
          <w:lang w:eastAsia="tr-TR"/>
        </w:rPr>
        <w:t xml:space="preserve"> Devletleri Grubu (GRULAC)</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Batı Avrupa </w:t>
      </w:r>
      <w:r>
        <w:rPr>
          <w:rFonts w:ascii="Times New Roman" w:eastAsia="Times New Roman" w:hAnsi="Times New Roman" w:cs="Times New Roman"/>
          <w:sz w:val="24"/>
          <w:szCs w:val="24"/>
          <w:lang w:eastAsia="tr-TR"/>
        </w:rPr>
        <w:t xml:space="preserve">ve </w:t>
      </w:r>
      <w:r w:rsidRPr="00451BD7">
        <w:rPr>
          <w:rFonts w:ascii="Times New Roman" w:eastAsia="Times New Roman" w:hAnsi="Times New Roman" w:cs="Times New Roman"/>
          <w:sz w:val="24"/>
          <w:szCs w:val="24"/>
          <w:lang w:eastAsia="tr-TR"/>
        </w:rPr>
        <w:t>Diğerleri Grubu (WEOG)</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Ülkeler, sadece topraklarının çölleşme ve diğer etkenler nedeniyle tahrip olma düzeylerine göre değil aynı zamanda ekonomik gelişme düzeylerine göre sınıflandırılmakta, yükümlülükleri ve çeşitli mekanizmalardan yararlanma olanakları belirlenmektedir. </w:t>
      </w:r>
    </w:p>
    <w:p w:rsidR="00DA6109" w:rsidRPr="00600CB2"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Ülkemiz “Gelişmiş ve Çölleşmeden Etkilenen Ül</w:t>
      </w:r>
      <w:r>
        <w:rPr>
          <w:rFonts w:ascii="Times New Roman" w:eastAsia="Times New Roman" w:hAnsi="Times New Roman" w:cs="Times New Roman"/>
          <w:sz w:val="24"/>
          <w:szCs w:val="24"/>
          <w:lang w:eastAsia="tr-TR"/>
        </w:rPr>
        <w:t xml:space="preserve">ke” konumunda olmakla birlikte </w:t>
      </w:r>
      <w:r w:rsidRPr="00451BD7">
        <w:rPr>
          <w:rFonts w:ascii="Times New Roman" w:eastAsia="Times New Roman" w:hAnsi="Times New Roman" w:cs="Times New Roman"/>
          <w:sz w:val="24"/>
          <w:szCs w:val="24"/>
          <w:lang w:eastAsia="tr-TR"/>
        </w:rPr>
        <w:t xml:space="preserve">Batı Avrupa </w:t>
      </w:r>
      <w:r>
        <w:rPr>
          <w:rFonts w:ascii="Times New Roman" w:eastAsia="Times New Roman" w:hAnsi="Times New Roman" w:cs="Times New Roman"/>
          <w:sz w:val="24"/>
          <w:szCs w:val="24"/>
          <w:lang w:eastAsia="tr-TR"/>
        </w:rPr>
        <w:t xml:space="preserve">ve </w:t>
      </w:r>
      <w:r w:rsidRPr="00451BD7">
        <w:rPr>
          <w:rFonts w:ascii="Times New Roman" w:eastAsia="Times New Roman" w:hAnsi="Times New Roman" w:cs="Times New Roman"/>
          <w:sz w:val="24"/>
          <w:szCs w:val="24"/>
          <w:lang w:eastAsia="tr-TR"/>
        </w:rPr>
        <w:t xml:space="preserve">Diğerleri Grubu (WEOG) içerisinde yer almaktadır. </w:t>
      </w:r>
    </w:p>
    <w:p w:rsidR="00DA6109" w:rsidRPr="00451BD7" w:rsidRDefault="00DA6109" w:rsidP="00DA6109">
      <w:pPr>
        <w:pStyle w:val="Default"/>
        <w:numPr>
          <w:ilvl w:val="1"/>
          <w:numId w:val="1"/>
        </w:numPr>
        <w:spacing w:after="240"/>
        <w:jc w:val="both"/>
        <w:rPr>
          <w:b/>
        </w:rPr>
      </w:pPr>
      <w:r w:rsidRPr="00451BD7">
        <w:rPr>
          <w:b/>
        </w:rPr>
        <w:t xml:space="preserve"> Sözleşmenin Organları</w:t>
      </w:r>
    </w:p>
    <w:p w:rsidR="00DA6109" w:rsidRPr="00451BD7" w:rsidRDefault="00DA6109" w:rsidP="00DA6109">
      <w:pPr>
        <w:pStyle w:val="Default"/>
        <w:jc w:val="both"/>
      </w:pPr>
      <w:r w:rsidRPr="00451BD7">
        <w:t>Birleşmiş Milletler Çölleşme ile Mücadele Sözleşmesinin ana karar alma ve yardımcı organları bulunmaktadır. Bunlar:</w:t>
      </w:r>
    </w:p>
    <w:p w:rsidR="00DA6109" w:rsidRPr="00451BD7" w:rsidRDefault="00DA6109" w:rsidP="00DA6109">
      <w:pPr>
        <w:pStyle w:val="Default"/>
        <w:numPr>
          <w:ilvl w:val="0"/>
          <w:numId w:val="3"/>
        </w:numPr>
        <w:jc w:val="both"/>
      </w:pPr>
      <w:r w:rsidRPr="00451BD7">
        <w:t>Taraflar Konferansı (COP)</w:t>
      </w:r>
    </w:p>
    <w:p w:rsidR="00DA6109" w:rsidRPr="00451BD7" w:rsidRDefault="00DA6109" w:rsidP="00DA6109">
      <w:pPr>
        <w:pStyle w:val="Default"/>
        <w:numPr>
          <w:ilvl w:val="0"/>
          <w:numId w:val="3"/>
        </w:numPr>
        <w:jc w:val="both"/>
      </w:pPr>
      <w:r w:rsidRPr="00451BD7">
        <w:t>Sözleşmenin Uygulamalarının Gözden Geçirilmesi Komitesi (CRIC)</w:t>
      </w:r>
    </w:p>
    <w:p w:rsidR="00DA6109" w:rsidRPr="00451BD7" w:rsidRDefault="00DA6109" w:rsidP="00DA6109">
      <w:pPr>
        <w:pStyle w:val="Default"/>
        <w:numPr>
          <w:ilvl w:val="0"/>
          <w:numId w:val="3"/>
        </w:numPr>
        <w:jc w:val="both"/>
      </w:pPr>
      <w:r w:rsidRPr="00451BD7">
        <w:t>Bilim ve Teknoloji Komitesi (CST)</w:t>
      </w:r>
    </w:p>
    <w:p w:rsidR="00DA6109" w:rsidRPr="00451BD7" w:rsidRDefault="00DA6109" w:rsidP="00DA6109">
      <w:pPr>
        <w:pStyle w:val="Default"/>
        <w:numPr>
          <w:ilvl w:val="0"/>
          <w:numId w:val="3"/>
        </w:numPr>
        <w:jc w:val="both"/>
      </w:pPr>
      <w:r w:rsidRPr="00451BD7">
        <w:t>Küresel Mekanizma (GM)</w:t>
      </w:r>
    </w:p>
    <w:p w:rsidR="00DA6109" w:rsidRPr="00451BD7" w:rsidRDefault="00DA6109" w:rsidP="00DA6109">
      <w:pPr>
        <w:pStyle w:val="Default"/>
        <w:numPr>
          <w:ilvl w:val="0"/>
          <w:numId w:val="3"/>
        </w:numPr>
        <w:jc w:val="both"/>
      </w:pPr>
      <w:r w:rsidRPr="00451BD7">
        <w:t>Sekretarya</w:t>
      </w:r>
    </w:p>
    <w:p w:rsidR="00DA6109" w:rsidRPr="00451BD7" w:rsidRDefault="00DA6109" w:rsidP="00DA6109">
      <w:pPr>
        <w:pStyle w:val="Default"/>
        <w:jc w:val="both"/>
      </w:pPr>
    </w:p>
    <w:p w:rsidR="00DA6109" w:rsidRPr="00451BD7" w:rsidRDefault="00DA6109" w:rsidP="00DA6109">
      <w:pPr>
        <w:pStyle w:val="Default"/>
        <w:numPr>
          <w:ilvl w:val="2"/>
          <w:numId w:val="1"/>
        </w:numPr>
        <w:spacing w:after="240"/>
        <w:jc w:val="both"/>
        <w:rPr>
          <w:b/>
        </w:rPr>
      </w:pPr>
      <w:r w:rsidRPr="00451BD7">
        <w:rPr>
          <w:b/>
        </w:rPr>
        <w:t>Taraflar Konferansı (COP)</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Taraflar Konferansı Sözleşmenin ana karar alma mekanizmasıdır ve sözleşmeye taraf ülke temsilcilerinin iştirakiyle toplanarak kararlar almaktadır. Sözleşmenin en yüksek organı olan Taraflar Konferansı 1997 yılından 2001 yılına kadar (COP 1-COP 5) yıllık düzenlenmiş olup 6. Taraflar toplantısından itibaren iki yılda bir düzenlenmektedir. Bugüne kadar on bir kez toplanmıştır. Sözleşmenin 11. Taraflar Konferansı 16-27 Eylül 2013 tarihlerinde Namibya’da düzenlenmiştir. Bundan önceki konferanslar; Kore, Arjantin, İspanya, Küba, İsviçre, Almanya, Senegal, Katar ve İtalya’da düzenlenmiştir.</w:t>
      </w:r>
    </w:p>
    <w:p w:rsidR="00DA6109" w:rsidRPr="00451BD7" w:rsidRDefault="00DA6109" w:rsidP="00DA6109">
      <w:pPr>
        <w:pStyle w:val="ListeParagraf"/>
        <w:numPr>
          <w:ilvl w:val="2"/>
          <w:numId w:val="1"/>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Sözleşmenin Uygulamalarının Gözden Geçirilmesi Komitesi (CRIC)</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CRIC, Sözleşmenin ülkelere getirdiği yükümlülüklerin uygulanmasını denetleyen bir organdır. Yedinci CRIC toplantısı (CRIC 7) ise Kasım 2008’de ülkemizin ev sahipliğinde İstanbul’da yapılmıştır.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CRIC aşağıdaki amaçlara yönelik çalışmaktadır:</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Sözleşmenin uygulanmasına yönelik en iyi uygulama örneklerini belirlemek ve yaygınlaştırmak,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Sözleşmenin uygulanmasına yönelik stratejik planın uygulanmasını gözden geçirmek,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Taraf ülkelerin sözleşmenin uygulanmasına yönelik katkılarını incelemek,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proofErr w:type="spellStart"/>
      <w:r w:rsidRPr="00451BD7">
        <w:rPr>
          <w:rFonts w:ascii="Times New Roman" w:eastAsia="Times New Roman" w:hAnsi="Times New Roman" w:cs="Times New Roman"/>
          <w:sz w:val="24"/>
          <w:szCs w:val="24"/>
          <w:lang w:eastAsia="tr-TR"/>
        </w:rPr>
        <w:lastRenderedPageBreak/>
        <w:t>CRIC’in</w:t>
      </w:r>
      <w:proofErr w:type="spellEnd"/>
      <w:r w:rsidRPr="00451BD7">
        <w:rPr>
          <w:rFonts w:ascii="Times New Roman" w:eastAsia="Times New Roman" w:hAnsi="Times New Roman" w:cs="Times New Roman"/>
          <w:sz w:val="24"/>
          <w:szCs w:val="24"/>
          <w:lang w:eastAsia="tr-TR"/>
        </w:rPr>
        <w:t xml:space="preserve"> başarı ve etkinliğini değerlendirmek ve izlemek.</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p>
    <w:p w:rsidR="00DA6109" w:rsidRPr="00451BD7" w:rsidRDefault="00DA6109" w:rsidP="00DA6109">
      <w:pPr>
        <w:pStyle w:val="ListeParagraf"/>
        <w:numPr>
          <w:ilvl w:val="2"/>
          <w:numId w:val="1"/>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Bilim ve Teknoloji Komitesi (CST)</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CST, kuraklığın etkilerinin azaltılması ve çölleşme ile mücadele konularında bilimsel ve teknolojik alanda bilgi ve tavsiyelerde bulunmak üzere kurulan yardımcı organdır. CST ve COP oturumları ile paralel yürütülmektedir ve tüm taraf ülkelerin iştirakine açıktır. </w:t>
      </w:r>
      <w:proofErr w:type="spellStart"/>
      <w:r w:rsidRPr="00451BD7">
        <w:rPr>
          <w:rFonts w:ascii="Times New Roman" w:eastAsia="Times New Roman" w:hAnsi="Times New Roman" w:cs="Times New Roman"/>
          <w:sz w:val="24"/>
          <w:szCs w:val="24"/>
          <w:lang w:eastAsia="tr-TR"/>
        </w:rPr>
        <w:t>CST’de</w:t>
      </w:r>
      <w:proofErr w:type="spellEnd"/>
      <w:r w:rsidRPr="00451BD7">
        <w:rPr>
          <w:rFonts w:ascii="Times New Roman" w:eastAsia="Times New Roman" w:hAnsi="Times New Roman" w:cs="Times New Roman"/>
          <w:sz w:val="24"/>
          <w:szCs w:val="24"/>
          <w:lang w:eastAsia="tr-TR"/>
        </w:rPr>
        <w:t xml:space="preserve"> yer almak üzere, COP kararı ile alakalı konularda uzmanlık ve tecrübeleri bulunan uluslararası uzmanlardan oluşan “Bağımsız Uzmanlar” grubu kurulmuştur. </w:t>
      </w:r>
      <w:r>
        <w:rPr>
          <w:rFonts w:ascii="Times New Roman" w:eastAsia="Times New Roman" w:hAnsi="Times New Roman" w:cs="Times New Roman"/>
          <w:sz w:val="24"/>
          <w:szCs w:val="24"/>
          <w:lang w:eastAsia="tr-TR"/>
        </w:rPr>
        <w:t xml:space="preserve">CST Özel Oturumu da yine </w:t>
      </w:r>
      <w:r w:rsidRPr="00451BD7">
        <w:rPr>
          <w:rFonts w:ascii="Times New Roman" w:eastAsia="Times New Roman" w:hAnsi="Times New Roman" w:cs="Times New Roman"/>
          <w:sz w:val="24"/>
          <w:szCs w:val="24"/>
          <w:lang w:eastAsia="tr-TR"/>
        </w:rPr>
        <w:t>Kasım 2008’de ülkemizin ev sahipliğinde İstanbul’da yapılmıştır.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proofErr w:type="spellStart"/>
      <w:r w:rsidRPr="00451BD7">
        <w:rPr>
          <w:rFonts w:ascii="Times New Roman" w:eastAsia="Times New Roman" w:hAnsi="Times New Roman" w:cs="Times New Roman"/>
          <w:sz w:val="24"/>
          <w:szCs w:val="24"/>
          <w:lang w:eastAsia="tr-TR"/>
        </w:rPr>
        <w:t>CST’nin</w:t>
      </w:r>
      <w:proofErr w:type="spellEnd"/>
      <w:r w:rsidRPr="00451BD7">
        <w:rPr>
          <w:rFonts w:ascii="Times New Roman" w:eastAsia="Times New Roman" w:hAnsi="Times New Roman" w:cs="Times New Roman"/>
          <w:sz w:val="24"/>
          <w:szCs w:val="24"/>
          <w:lang w:eastAsia="tr-TR"/>
        </w:rPr>
        <w:t xml:space="preserve"> öncelikli çalışma alanları aşağıdaki tematik konuları ihtiva etmektedir. </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İzleme ve Değerlendirme</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BM Çölleşme ile Mücadele Sözleşmesi Bilimsel Konferansları</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Uluslararası Bilimsel Tavsiyeler</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Bilgi Yönetimi</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Bilim Kurulu Üyelik Programı</w:t>
      </w:r>
    </w:p>
    <w:p w:rsidR="00C07E73" w:rsidRDefault="00BD2B6E">
      <w:pPr>
        <w:rPr>
          <w:rFonts w:ascii="Times New Roman" w:hAnsi="Times New Roman" w:cs="Times New Roman"/>
          <w:b/>
          <w:sz w:val="24"/>
          <w:szCs w:val="24"/>
        </w:rPr>
      </w:pPr>
      <w:r w:rsidRPr="00BD2B6E">
        <w:rPr>
          <w:rFonts w:ascii="Times New Roman" w:hAnsi="Times New Roman" w:cs="Times New Roman"/>
          <w:b/>
          <w:sz w:val="24"/>
          <w:szCs w:val="24"/>
        </w:rPr>
        <w:t>1.3</w:t>
      </w:r>
      <w:r>
        <w:rPr>
          <w:rFonts w:ascii="Times New Roman" w:hAnsi="Times New Roman" w:cs="Times New Roman"/>
          <w:b/>
          <w:sz w:val="24"/>
          <w:szCs w:val="24"/>
        </w:rPr>
        <w:t>.</w:t>
      </w:r>
      <w:r w:rsidRPr="00BD2B6E">
        <w:t xml:space="preserve"> </w:t>
      </w:r>
      <w:r w:rsidRPr="00BD2B6E">
        <w:rPr>
          <w:rFonts w:ascii="Times New Roman" w:hAnsi="Times New Roman" w:cs="Times New Roman"/>
          <w:b/>
          <w:sz w:val="24"/>
          <w:szCs w:val="24"/>
        </w:rPr>
        <w:t>Kuzey Akdeniz Bölgesi Koordinasyon Birimi İstanbul’da</w:t>
      </w:r>
      <w:r>
        <w:rPr>
          <w:rFonts w:ascii="Times New Roman" w:hAnsi="Times New Roman" w:cs="Times New Roman"/>
          <w:b/>
          <w:sz w:val="24"/>
          <w:szCs w:val="24"/>
        </w:rPr>
        <w:t xml:space="preserve"> açılmıştır.</w:t>
      </w:r>
    </w:p>
    <w:p w:rsidR="00BD2B6E" w:rsidRPr="00451BD7" w:rsidRDefault="00BD2B6E" w:rsidP="00BD2B6E">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Türkiye’nin Kuzey Akdeniz Bölgesi Bölgesel Koordinasyon Birimine ev sahipliği yapabileceği önerisi de Namibya’da düzenlenen 11. Taraflar Konferansı’nda karara bağlanmıştır.</w:t>
      </w:r>
      <w:r w:rsidRPr="00451BD7">
        <w:rPr>
          <w:rFonts w:ascii="Times New Roman" w:eastAsia="Times New Roman" w:hAnsi="Times New Roman" w:cs="Times New Roman"/>
          <w:sz w:val="24"/>
          <w:szCs w:val="24"/>
          <w:lang w:eastAsia="tr-TR"/>
        </w:rPr>
        <w:tab/>
      </w:r>
    </w:p>
    <w:p w:rsidR="00BD2B6E" w:rsidRPr="00BD2B6E" w:rsidRDefault="00BD2B6E" w:rsidP="00BD2B6E">
      <w:pPr>
        <w:rPr>
          <w:rFonts w:ascii="Times New Roman" w:hAnsi="Times New Roman" w:cs="Times New Roman"/>
          <w:b/>
          <w:sz w:val="24"/>
          <w:szCs w:val="24"/>
        </w:rPr>
      </w:pPr>
      <w:r w:rsidRPr="00451BD7">
        <w:rPr>
          <w:rFonts w:ascii="Times New Roman" w:eastAsia="Times New Roman" w:hAnsi="Times New Roman" w:cs="Times New Roman"/>
          <w:sz w:val="24"/>
          <w:szCs w:val="24"/>
          <w:lang w:eastAsia="tr-TR"/>
        </w:rPr>
        <w:t>Kuzey Akdeniz Bölgesi Ülkelerinin (EK V) Sözleşme kapsamındaki uygulamalarını koordine etmek üzere “Kuzey Akdeniz Bölgesel Koordinasyon Birimi”  İstanbul’da kurul</w:t>
      </w:r>
      <w:r>
        <w:rPr>
          <w:rFonts w:ascii="Times New Roman" w:eastAsia="Times New Roman" w:hAnsi="Times New Roman" w:cs="Times New Roman"/>
          <w:sz w:val="24"/>
          <w:szCs w:val="24"/>
          <w:lang w:eastAsia="tr-TR"/>
        </w:rPr>
        <w:t>muştur.</w:t>
      </w:r>
    </w:p>
    <w:sectPr w:rsidR="00BD2B6E" w:rsidRPr="00BD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F3F"/>
    <w:multiLevelType w:val="hybridMultilevel"/>
    <w:tmpl w:val="F1FA9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15CEE"/>
    <w:multiLevelType w:val="hybridMultilevel"/>
    <w:tmpl w:val="C7907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9677CC"/>
    <w:multiLevelType w:val="hybridMultilevel"/>
    <w:tmpl w:val="58BE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86424"/>
    <w:multiLevelType w:val="hybridMultilevel"/>
    <w:tmpl w:val="F438C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C48F7"/>
    <w:multiLevelType w:val="hybridMultilevel"/>
    <w:tmpl w:val="D188F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8C4C4E"/>
    <w:multiLevelType w:val="multilevel"/>
    <w:tmpl w:val="158A8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9210DF"/>
    <w:multiLevelType w:val="hybridMultilevel"/>
    <w:tmpl w:val="BAE43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EA"/>
    <w:rsid w:val="00640C46"/>
    <w:rsid w:val="007215A3"/>
    <w:rsid w:val="00BD2B6E"/>
    <w:rsid w:val="00C07E73"/>
    <w:rsid w:val="00CC6DEA"/>
    <w:rsid w:val="00D17983"/>
    <w:rsid w:val="00DA6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89426-B0FE-4F3B-8590-6A1AAA2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610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A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38396-8717-4412-BEA1-958620F3AB4F}"/>
</file>

<file path=customXml/itemProps2.xml><?xml version="1.0" encoding="utf-8"?>
<ds:datastoreItem xmlns:ds="http://schemas.openxmlformats.org/officeDocument/2006/customXml" ds:itemID="{57752AE9-A338-4215-8E43-00FD901E7EB1}"/>
</file>

<file path=customXml/itemProps3.xml><?xml version="1.0" encoding="utf-8"?>
<ds:datastoreItem xmlns:ds="http://schemas.openxmlformats.org/officeDocument/2006/customXml" ds:itemID="{E3DCCBA4-41EA-4214-99D8-D6963F60A6D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AKDEMİR</dc:creator>
  <cp:keywords/>
  <dc:description/>
  <cp:lastModifiedBy>Eda AKDEMİR</cp:lastModifiedBy>
  <cp:revision>6</cp:revision>
  <dcterms:created xsi:type="dcterms:W3CDTF">2017-12-08T12:34:00Z</dcterms:created>
  <dcterms:modified xsi:type="dcterms:W3CDTF">2017-12-08T12:41:00Z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