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7933" w14:textId="1608482C" w:rsidR="00F77E79" w:rsidRDefault="00F77E79" w:rsidP="009C516A">
      <w:pPr>
        <w:spacing w:before="120" w:after="120" w:line="276" w:lineRule="auto"/>
        <w:jc w:val="center"/>
        <w:rPr>
          <w:rFonts w:ascii="Times New Roman" w:eastAsia="Times New Roman" w:hAnsi="Times New Roman" w:cs="Times New Roman"/>
          <w:b/>
          <w:bCs/>
          <w:color w:val="000000"/>
          <w:sz w:val="24"/>
          <w:szCs w:val="24"/>
          <w:lang w:eastAsia="tr-TR"/>
        </w:rPr>
      </w:pPr>
      <w:r w:rsidRPr="00F77E79">
        <w:rPr>
          <w:rFonts w:ascii="Times New Roman" w:eastAsia="Times New Roman" w:hAnsi="Times New Roman" w:cs="Times New Roman"/>
          <w:b/>
          <w:bCs/>
          <w:color w:val="000000"/>
          <w:sz w:val="24"/>
          <w:szCs w:val="24"/>
          <w:lang w:eastAsia="tr-TR"/>
        </w:rPr>
        <w:t>BİLİMSEL GÖRÜŞ</w:t>
      </w:r>
    </w:p>
    <w:p w14:paraId="56C57542" w14:textId="77777777" w:rsidR="00F77E79" w:rsidRPr="00F77E79" w:rsidRDefault="00F77E79" w:rsidP="009C516A">
      <w:pPr>
        <w:spacing w:before="120" w:after="120" w:line="276" w:lineRule="auto"/>
        <w:jc w:val="center"/>
        <w:rPr>
          <w:rFonts w:ascii="Times New Roman" w:eastAsia="Times New Roman" w:hAnsi="Times New Roman" w:cs="Times New Roman"/>
          <w:b/>
          <w:bCs/>
          <w:color w:val="000000"/>
          <w:sz w:val="24"/>
          <w:szCs w:val="24"/>
          <w:lang w:eastAsia="tr-TR"/>
        </w:rPr>
      </w:pPr>
    </w:p>
    <w:p w14:paraId="62CA992A" w14:textId="2F9BE9FD" w:rsidR="00F77E79" w:rsidRPr="00F77E79" w:rsidRDefault="00F77E79" w:rsidP="009C516A">
      <w:pPr>
        <w:spacing w:before="120" w:after="120" w:line="276" w:lineRule="auto"/>
        <w:jc w:val="center"/>
        <w:rPr>
          <w:rFonts w:ascii="Times New Roman" w:eastAsia="Times New Roman" w:hAnsi="Times New Roman" w:cs="Times New Roman"/>
          <w:b/>
          <w:bCs/>
          <w:sz w:val="24"/>
          <w:szCs w:val="24"/>
          <w:lang w:eastAsia="tr-TR"/>
        </w:rPr>
      </w:pPr>
      <w:proofErr w:type="spellStart"/>
      <w:r w:rsidRPr="00F77E79">
        <w:rPr>
          <w:rFonts w:ascii="Times New Roman" w:eastAsia="Times New Roman" w:hAnsi="Times New Roman" w:cs="Times New Roman"/>
          <w:b/>
          <w:bCs/>
          <w:i/>
          <w:iCs/>
          <w:color w:val="000000"/>
          <w:sz w:val="24"/>
          <w:szCs w:val="24"/>
          <w:lang w:eastAsia="tr-TR"/>
        </w:rPr>
        <w:t>Cymbopogon</w:t>
      </w:r>
      <w:proofErr w:type="spellEnd"/>
      <w:r w:rsidRPr="00F77E79">
        <w:rPr>
          <w:rFonts w:ascii="Times New Roman" w:eastAsia="Times New Roman" w:hAnsi="Times New Roman" w:cs="Times New Roman"/>
          <w:b/>
          <w:bCs/>
          <w:i/>
          <w:iCs/>
          <w:color w:val="000000"/>
          <w:sz w:val="24"/>
          <w:szCs w:val="24"/>
          <w:lang w:eastAsia="tr-TR"/>
        </w:rPr>
        <w:t xml:space="preserve"> martini</w:t>
      </w:r>
      <w:r w:rsidRPr="00F77E79">
        <w:rPr>
          <w:rFonts w:ascii="Times New Roman" w:eastAsia="Times New Roman" w:hAnsi="Times New Roman" w:cs="Times New Roman"/>
          <w:b/>
          <w:bCs/>
          <w:color w:val="000000"/>
          <w:sz w:val="24"/>
          <w:szCs w:val="24"/>
          <w:lang w:eastAsia="tr-TR"/>
        </w:rPr>
        <w:t xml:space="preserve"> (</w:t>
      </w:r>
      <w:proofErr w:type="spellStart"/>
      <w:r w:rsidRPr="00F77E79">
        <w:rPr>
          <w:rFonts w:ascii="Times New Roman" w:eastAsia="Times New Roman" w:hAnsi="Times New Roman" w:cs="Times New Roman"/>
          <w:b/>
          <w:bCs/>
          <w:color w:val="000000"/>
          <w:sz w:val="24"/>
          <w:szCs w:val="24"/>
          <w:lang w:eastAsia="tr-TR"/>
        </w:rPr>
        <w:t>Roxb</w:t>
      </w:r>
      <w:proofErr w:type="spellEnd"/>
      <w:r w:rsidRPr="00F77E79">
        <w:rPr>
          <w:rFonts w:ascii="Times New Roman" w:eastAsia="Times New Roman" w:hAnsi="Times New Roman" w:cs="Times New Roman"/>
          <w:b/>
          <w:bCs/>
          <w:color w:val="000000"/>
          <w:sz w:val="24"/>
          <w:szCs w:val="24"/>
          <w:lang w:eastAsia="tr-TR"/>
        </w:rPr>
        <w:t xml:space="preserve">.) </w:t>
      </w:r>
      <w:proofErr w:type="spellStart"/>
      <w:r w:rsidRPr="00F77E79">
        <w:rPr>
          <w:rFonts w:ascii="Times New Roman" w:eastAsia="Times New Roman" w:hAnsi="Times New Roman" w:cs="Times New Roman"/>
          <w:b/>
          <w:bCs/>
          <w:color w:val="000000"/>
          <w:sz w:val="24"/>
          <w:szCs w:val="24"/>
          <w:lang w:eastAsia="tr-TR"/>
        </w:rPr>
        <w:t>Will</w:t>
      </w:r>
      <w:proofErr w:type="spellEnd"/>
      <w:r w:rsidRPr="00F77E79">
        <w:rPr>
          <w:rFonts w:ascii="Times New Roman" w:eastAsia="Times New Roman" w:hAnsi="Times New Roman" w:cs="Times New Roman"/>
          <w:b/>
          <w:bCs/>
          <w:color w:val="000000"/>
          <w:sz w:val="24"/>
          <w:szCs w:val="24"/>
          <w:lang w:eastAsia="tr-TR"/>
        </w:rPr>
        <w:t>.</w:t>
      </w:r>
      <w:r w:rsidR="00CF4BF6">
        <w:rPr>
          <w:rFonts w:ascii="Times New Roman" w:eastAsia="Times New Roman" w:hAnsi="Times New Roman" w:cs="Times New Roman"/>
          <w:b/>
          <w:bCs/>
          <w:color w:val="000000"/>
          <w:sz w:val="24"/>
          <w:szCs w:val="24"/>
          <w:lang w:eastAsia="tr-TR"/>
        </w:rPr>
        <w:t xml:space="preserve"> </w:t>
      </w:r>
      <w:r w:rsidRPr="00F77E79">
        <w:rPr>
          <w:rFonts w:ascii="Times New Roman" w:eastAsia="Times New Roman" w:hAnsi="Times New Roman" w:cs="Times New Roman"/>
          <w:b/>
          <w:bCs/>
          <w:color w:val="000000"/>
          <w:sz w:val="24"/>
          <w:szCs w:val="24"/>
          <w:lang w:eastAsia="tr-TR"/>
        </w:rPr>
        <w:t>Watson Bitkisinin Uçucu Yağ Kısmının</w:t>
      </w:r>
      <w:r w:rsidRPr="00F77E79">
        <w:rPr>
          <w:rFonts w:ascii="Times New Roman" w:eastAsia="Times New Roman" w:hAnsi="Times New Roman" w:cs="Times New Roman"/>
          <w:b/>
          <w:bCs/>
          <w:color w:val="000000"/>
          <w:sz w:val="24"/>
          <w:szCs w:val="24"/>
          <w:shd w:val="clear" w:color="auto" w:fill="FFFFFF"/>
          <w:lang w:eastAsia="tr-TR"/>
        </w:rPr>
        <w:t xml:space="preserve"> </w:t>
      </w:r>
      <w:r w:rsidRPr="00F77E79">
        <w:rPr>
          <w:rFonts w:ascii="Times New Roman" w:eastAsia="Times New Roman" w:hAnsi="Times New Roman" w:cs="Times New Roman"/>
          <w:b/>
          <w:bCs/>
          <w:color w:val="000000"/>
          <w:sz w:val="24"/>
          <w:szCs w:val="24"/>
          <w:lang w:eastAsia="tr-TR"/>
        </w:rPr>
        <w:t>Gıdalarda Kullanımının Güvenilirliğinin Değerlendirilmesi Hakkında Bilimsel Görüş</w:t>
      </w:r>
    </w:p>
    <w:p w14:paraId="1162DD51" w14:textId="0770A4E3" w:rsidR="00F77E79" w:rsidRPr="00F77E79" w:rsidRDefault="00F77E79" w:rsidP="009C516A">
      <w:pPr>
        <w:spacing w:before="120" w:after="120" w:line="276" w:lineRule="auto"/>
        <w:jc w:val="both"/>
        <w:rPr>
          <w:rFonts w:ascii="Times New Roman" w:eastAsia="Times New Roman" w:hAnsi="Times New Roman" w:cs="Times New Roman"/>
          <w:b/>
          <w:bCs/>
          <w:sz w:val="24"/>
          <w:szCs w:val="24"/>
          <w:lang w:eastAsia="tr-TR"/>
        </w:rPr>
      </w:pPr>
      <w:r w:rsidRPr="00F77E79">
        <w:rPr>
          <w:rFonts w:ascii="Times New Roman" w:eastAsia="Times New Roman" w:hAnsi="Times New Roman" w:cs="Times New Roman"/>
          <w:b/>
          <w:bCs/>
          <w:color w:val="000000"/>
          <w:sz w:val="24"/>
          <w:szCs w:val="24"/>
          <w:lang w:eastAsia="tr-TR"/>
        </w:rPr>
        <w:t>                            </w:t>
      </w:r>
      <w:r w:rsidRPr="00F77E79">
        <w:rPr>
          <w:rFonts w:ascii="Times New Roman" w:eastAsia="Times New Roman" w:hAnsi="Times New Roman" w:cs="Times New Roman"/>
          <w:b/>
          <w:bCs/>
          <w:color w:val="000000"/>
          <w:sz w:val="24"/>
          <w:szCs w:val="24"/>
          <w:lang w:eastAsia="tr-TR"/>
        </w:rPr>
        <w:tab/>
        <w:t>Gıda Olarak Kullanılabilecek Bitkiler Komisyonu</w:t>
      </w:r>
      <w:r w:rsidR="00052746">
        <w:rPr>
          <w:rStyle w:val="DipnotBavurusu"/>
          <w:rFonts w:ascii="Times New Roman" w:eastAsia="Times New Roman" w:hAnsi="Times New Roman" w:cs="Times New Roman"/>
          <w:b/>
          <w:bCs/>
          <w:color w:val="000000"/>
          <w:sz w:val="24"/>
          <w:szCs w:val="24"/>
          <w:lang w:eastAsia="tr-TR"/>
        </w:rPr>
        <w:footnoteReference w:id="1"/>
      </w:r>
    </w:p>
    <w:p w14:paraId="134D7993" w14:textId="3C27D2E4" w:rsidR="00F77E79" w:rsidRPr="009B6A56" w:rsidRDefault="00F77E79" w:rsidP="009C516A">
      <w:pPr>
        <w:spacing w:before="120" w:after="120" w:line="276" w:lineRule="auto"/>
        <w:jc w:val="both"/>
        <w:rPr>
          <w:rFonts w:ascii="Times New Roman" w:eastAsia="Times New Roman" w:hAnsi="Times New Roman" w:cs="Times New Roman"/>
          <w:b/>
          <w:bCs/>
          <w:color w:val="000000"/>
          <w:sz w:val="24"/>
          <w:szCs w:val="24"/>
          <w:lang w:eastAsia="tr-TR"/>
        </w:rPr>
      </w:pPr>
      <w:r w:rsidRPr="00F77E79">
        <w:rPr>
          <w:rFonts w:ascii="Times New Roman" w:eastAsia="Times New Roman" w:hAnsi="Times New Roman" w:cs="Times New Roman"/>
          <w:b/>
          <w:bCs/>
          <w:color w:val="000000"/>
          <w:sz w:val="24"/>
          <w:szCs w:val="24"/>
          <w:lang w:eastAsia="tr-TR"/>
        </w:rPr>
        <w:t> </w:t>
      </w:r>
    </w:p>
    <w:p w14:paraId="2AAA881E" w14:textId="77777777" w:rsidR="00F77E79" w:rsidRPr="00F77E79" w:rsidRDefault="00F77E79" w:rsidP="009C516A">
      <w:pPr>
        <w:spacing w:before="120" w:after="120" w:line="276" w:lineRule="auto"/>
        <w:ind w:firstLine="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b/>
          <w:bCs/>
          <w:color w:val="000000"/>
          <w:sz w:val="24"/>
          <w:szCs w:val="24"/>
          <w:lang w:eastAsia="tr-TR"/>
        </w:rPr>
        <w:t>ÖZET</w:t>
      </w:r>
    </w:p>
    <w:p w14:paraId="6B34A563" w14:textId="0B18534B" w:rsidR="00F77E79" w:rsidRPr="00F77E79" w:rsidRDefault="00F77E79" w:rsidP="009C516A">
      <w:pPr>
        <w:spacing w:before="120" w:after="120" w:line="276" w:lineRule="auto"/>
        <w:ind w:firstLine="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Gıda Olarak Kullanılabilecek Bitkiler Komisyonu tarafından üçüncü taraflarca yapılan bir</w:t>
      </w:r>
      <w:r w:rsidR="00AE4F26">
        <w:rPr>
          <w:rFonts w:ascii="Times New Roman" w:eastAsia="Times New Roman" w:hAnsi="Times New Roman" w:cs="Times New Roman"/>
          <w:color w:val="000000"/>
          <w:sz w:val="24"/>
          <w:szCs w:val="24"/>
          <w:lang w:eastAsia="tr-TR"/>
        </w:rPr>
        <w:t xml:space="preserve"> </w:t>
      </w:r>
      <w:r w:rsidRPr="00F77E79">
        <w:rPr>
          <w:rFonts w:ascii="Times New Roman" w:eastAsia="Times New Roman" w:hAnsi="Times New Roman" w:cs="Times New Roman"/>
          <w:color w:val="000000"/>
          <w:sz w:val="24"/>
          <w:szCs w:val="24"/>
          <w:lang w:eastAsia="tr-TR"/>
        </w:rPr>
        <w:t xml:space="preserve">başvuruya istinaden, </w:t>
      </w:r>
      <w:proofErr w:type="spellStart"/>
      <w:r w:rsidRPr="00F77E79">
        <w:rPr>
          <w:rFonts w:ascii="Times New Roman" w:eastAsia="Times New Roman" w:hAnsi="Times New Roman" w:cs="Times New Roman"/>
          <w:i/>
          <w:iCs/>
          <w:color w:val="000000"/>
          <w:sz w:val="24"/>
          <w:szCs w:val="24"/>
          <w:lang w:eastAsia="tr-TR"/>
        </w:rPr>
        <w:t>Cymbopogon</w:t>
      </w:r>
      <w:proofErr w:type="spellEnd"/>
      <w:r w:rsidRPr="00F77E79">
        <w:rPr>
          <w:rFonts w:ascii="Times New Roman" w:eastAsia="Times New Roman" w:hAnsi="Times New Roman" w:cs="Times New Roman"/>
          <w:i/>
          <w:iCs/>
          <w:color w:val="000000"/>
          <w:sz w:val="24"/>
          <w:szCs w:val="24"/>
          <w:lang w:eastAsia="tr-TR"/>
        </w:rPr>
        <w:t xml:space="preserve"> martini</w:t>
      </w:r>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Roxb</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Will</w:t>
      </w:r>
      <w:proofErr w:type="spellEnd"/>
      <w:r w:rsidRPr="00F77E79">
        <w:rPr>
          <w:rFonts w:ascii="Times New Roman" w:eastAsia="Times New Roman" w:hAnsi="Times New Roman" w:cs="Times New Roman"/>
          <w:color w:val="000000"/>
          <w:sz w:val="24"/>
          <w:szCs w:val="24"/>
          <w:lang w:eastAsia="tr-TR"/>
        </w:rPr>
        <w:t xml:space="preserve">. Watson bitkisinin </w:t>
      </w:r>
      <w:r w:rsidRPr="00DA12D3">
        <w:rPr>
          <w:rFonts w:ascii="Times New Roman" w:eastAsia="Times New Roman" w:hAnsi="Times New Roman" w:cs="Times New Roman"/>
          <w:color w:val="000000"/>
          <w:sz w:val="24"/>
          <w:szCs w:val="24"/>
          <w:lang w:eastAsia="tr-TR"/>
        </w:rPr>
        <w:t>uçucu yağ</w:t>
      </w:r>
      <w:r w:rsidRPr="00F77E79">
        <w:rPr>
          <w:rFonts w:ascii="Times New Roman" w:eastAsia="Times New Roman" w:hAnsi="Times New Roman" w:cs="Times New Roman"/>
          <w:color w:val="000000"/>
          <w:sz w:val="24"/>
          <w:szCs w:val="24"/>
          <w:lang w:eastAsia="tr-TR"/>
        </w:rPr>
        <w:t xml:space="preserve"> kısmının güvenilirlik değerlendirmesi güncel bilimsel çalışmalar ışığında yapılmıştır.</w:t>
      </w:r>
    </w:p>
    <w:p w14:paraId="565031F6" w14:textId="279E6B38" w:rsidR="00AE4F26" w:rsidRDefault="001A369E" w:rsidP="009B6A56">
      <w:pPr>
        <w:spacing w:before="120" w:after="120" w:line="276" w:lineRule="auto"/>
        <w:ind w:firstLine="700"/>
        <w:jc w:val="both"/>
        <w:rPr>
          <w:rFonts w:ascii="Times New Roman" w:eastAsia="Times New Roman" w:hAnsi="Times New Roman" w:cs="Times New Roman"/>
          <w:color w:val="000000"/>
          <w:sz w:val="24"/>
          <w:szCs w:val="24"/>
          <w:lang w:eastAsia="tr-TR"/>
        </w:rPr>
      </w:pPr>
      <w:r w:rsidRPr="001A369E">
        <w:rPr>
          <w:rFonts w:ascii="Times New Roman" w:hAnsi="Times New Roman" w:cs="Times New Roman"/>
          <w:sz w:val="24"/>
        </w:rPr>
        <w:t>Yapılan literatür incelemelerinde,</w:t>
      </w:r>
      <w:r w:rsidR="00AE4F26" w:rsidRPr="001A369E">
        <w:rPr>
          <w:rFonts w:ascii="Times New Roman" w:eastAsia="Times New Roman" w:hAnsi="Times New Roman" w:cs="Times New Roman"/>
          <w:color w:val="000000"/>
          <w:sz w:val="28"/>
          <w:szCs w:val="24"/>
          <w:lang w:eastAsia="tr-TR"/>
        </w:rPr>
        <w:t xml:space="preserve"> </w:t>
      </w:r>
      <w:proofErr w:type="spellStart"/>
      <w:r w:rsidR="00AE4F26" w:rsidRPr="00AE4F26">
        <w:rPr>
          <w:rFonts w:ascii="Times New Roman" w:eastAsia="Times New Roman" w:hAnsi="Times New Roman" w:cs="Times New Roman"/>
          <w:i/>
          <w:iCs/>
          <w:color w:val="000000"/>
          <w:sz w:val="24"/>
          <w:szCs w:val="24"/>
          <w:lang w:eastAsia="tr-TR"/>
        </w:rPr>
        <w:t>Cymbopogon</w:t>
      </w:r>
      <w:proofErr w:type="spellEnd"/>
      <w:r w:rsidR="00AE4F26" w:rsidRPr="00AE4F26">
        <w:rPr>
          <w:rFonts w:ascii="Times New Roman" w:eastAsia="Times New Roman" w:hAnsi="Times New Roman" w:cs="Times New Roman"/>
          <w:i/>
          <w:iCs/>
          <w:color w:val="000000"/>
          <w:sz w:val="24"/>
          <w:szCs w:val="24"/>
          <w:lang w:eastAsia="tr-TR"/>
        </w:rPr>
        <w:t xml:space="preserve"> martini</w:t>
      </w:r>
      <w:r w:rsidR="00AE4F26" w:rsidRPr="00AE4F26">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Palmarosa</w:t>
      </w:r>
      <w:proofErr w:type="spellEnd"/>
      <w:r w:rsidR="00AE4F26" w:rsidRPr="00AE4F26">
        <w:rPr>
          <w:rFonts w:ascii="Times New Roman" w:eastAsia="Times New Roman" w:hAnsi="Times New Roman" w:cs="Times New Roman"/>
          <w:color w:val="000000"/>
          <w:sz w:val="24"/>
          <w:szCs w:val="24"/>
          <w:lang w:eastAsia="tr-TR"/>
        </w:rPr>
        <w:t>) bitkisinden elde edilen uçucu yağın</w:t>
      </w:r>
      <w:r w:rsidR="00AE4F26">
        <w:rPr>
          <w:rFonts w:ascii="Times New Roman" w:eastAsia="Times New Roman" w:hAnsi="Times New Roman" w:cs="Times New Roman"/>
          <w:color w:val="000000"/>
          <w:sz w:val="24"/>
          <w:szCs w:val="24"/>
          <w:lang w:eastAsia="tr-TR"/>
        </w:rPr>
        <w:t xml:space="preserve"> </w:t>
      </w:r>
      <w:r w:rsidR="00AE4F26" w:rsidRPr="00AE4F26">
        <w:rPr>
          <w:rFonts w:ascii="Times New Roman" w:eastAsia="Times New Roman" w:hAnsi="Times New Roman" w:cs="Times New Roman"/>
          <w:color w:val="000000"/>
          <w:sz w:val="24"/>
          <w:szCs w:val="24"/>
          <w:lang w:eastAsia="tr-TR"/>
        </w:rPr>
        <w:t xml:space="preserve">%70’in üzerinde </w:t>
      </w:r>
      <w:proofErr w:type="spellStart"/>
      <w:r w:rsidR="00AE4F26" w:rsidRPr="00AE4F26">
        <w:rPr>
          <w:rFonts w:ascii="Times New Roman" w:eastAsia="Times New Roman" w:hAnsi="Times New Roman" w:cs="Times New Roman"/>
          <w:color w:val="000000"/>
          <w:sz w:val="24"/>
          <w:szCs w:val="24"/>
          <w:lang w:eastAsia="tr-TR"/>
        </w:rPr>
        <w:t>geraniol</w:t>
      </w:r>
      <w:proofErr w:type="spellEnd"/>
      <w:r w:rsidR="00AE4F26" w:rsidRPr="00AE4F26">
        <w:rPr>
          <w:rFonts w:ascii="Times New Roman" w:eastAsia="Times New Roman" w:hAnsi="Times New Roman" w:cs="Times New Roman"/>
          <w:color w:val="000000"/>
          <w:sz w:val="24"/>
          <w:szCs w:val="24"/>
          <w:lang w:eastAsia="tr-TR"/>
        </w:rPr>
        <w:t xml:space="preserve"> içerdiği ve </w:t>
      </w:r>
      <w:proofErr w:type="spellStart"/>
      <w:r w:rsidR="00AE4F26" w:rsidRPr="00AE4F26">
        <w:rPr>
          <w:rFonts w:ascii="Times New Roman" w:eastAsia="Times New Roman" w:hAnsi="Times New Roman" w:cs="Times New Roman"/>
          <w:color w:val="000000"/>
          <w:sz w:val="24"/>
          <w:szCs w:val="24"/>
          <w:lang w:eastAsia="tr-TR"/>
        </w:rPr>
        <w:t>geraniolün</w:t>
      </w:r>
      <w:proofErr w:type="spellEnd"/>
      <w:r w:rsidR="00AE4F26" w:rsidRPr="00AE4F26">
        <w:rPr>
          <w:rFonts w:ascii="Times New Roman" w:eastAsia="Times New Roman" w:hAnsi="Times New Roman" w:cs="Times New Roman"/>
          <w:color w:val="000000"/>
          <w:sz w:val="24"/>
          <w:szCs w:val="24"/>
          <w:lang w:eastAsia="tr-TR"/>
        </w:rPr>
        <w:t xml:space="preserve"> </w:t>
      </w:r>
      <w:proofErr w:type="spellStart"/>
      <w:r w:rsidR="00AE4F26" w:rsidRPr="00AE4F26">
        <w:rPr>
          <w:rFonts w:ascii="Times New Roman" w:eastAsia="Times New Roman" w:hAnsi="Times New Roman" w:cs="Times New Roman"/>
          <w:color w:val="000000"/>
          <w:sz w:val="24"/>
          <w:szCs w:val="24"/>
          <w:lang w:eastAsia="tr-TR"/>
        </w:rPr>
        <w:t>toksisitesinin</w:t>
      </w:r>
      <w:proofErr w:type="spellEnd"/>
      <w:r w:rsidR="00AE4F26" w:rsidRPr="00AE4F26">
        <w:rPr>
          <w:rFonts w:ascii="Times New Roman" w:eastAsia="Times New Roman" w:hAnsi="Times New Roman" w:cs="Times New Roman"/>
          <w:color w:val="000000"/>
          <w:sz w:val="24"/>
          <w:szCs w:val="24"/>
          <w:lang w:eastAsia="tr-TR"/>
        </w:rPr>
        <w:t xml:space="preserve"> düşük olduğu bildirilmektedir. Ayrıca, </w:t>
      </w:r>
      <w:proofErr w:type="spellStart"/>
      <w:r w:rsidR="00AE4F26" w:rsidRPr="00AE4F26">
        <w:rPr>
          <w:rFonts w:ascii="Times New Roman" w:eastAsia="Times New Roman" w:hAnsi="Times New Roman" w:cs="Times New Roman"/>
          <w:color w:val="000000"/>
          <w:sz w:val="24"/>
          <w:szCs w:val="24"/>
          <w:lang w:eastAsia="tr-TR"/>
        </w:rPr>
        <w:t>geraniolün</w:t>
      </w:r>
      <w:proofErr w:type="spellEnd"/>
      <w:r w:rsidR="00AE4F26" w:rsidRPr="00AE4F26">
        <w:rPr>
          <w:rFonts w:ascii="Times New Roman" w:eastAsia="Times New Roman" w:hAnsi="Times New Roman" w:cs="Times New Roman"/>
          <w:color w:val="000000"/>
          <w:sz w:val="24"/>
          <w:szCs w:val="24"/>
          <w:lang w:eastAsia="tr-TR"/>
        </w:rPr>
        <w:t xml:space="preserve"> gıda sektöründe </w:t>
      </w:r>
      <w:r w:rsidR="00AE4F26">
        <w:rPr>
          <w:rFonts w:ascii="Times New Roman" w:eastAsia="Times New Roman" w:hAnsi="Times New Roman" w:cs="Times New Roman"/>
          <w:color w:val="000000"/>
          <w:sz w:val="24"/>
          <w:szCs w:val="24"/>
          <w:lang w:eastAsia="tr-TR"/>
        </w:rPr>
        <w:t xml:space="preserve">gıda </w:t>
      </w:r>
      <w:r w:rsidR="00AE4F26" w:rsidRPr="00AE4F26">
        <w:rPr>
          <w:rFonts w:ascii="Times New Roman" w:eastAsia="Times New Roman" w:hAnsi="Times New Roman" w:cs="Times New Roman"/>
          <w:color w:val="000000"/>
          <w:sz w:val="24"/>
          <w:szCs w:val="24"/>
          <w:lang w:eastAsia="tr-TR"/>
        </w:rPr>
        <w:t>aroma verici</w:t>
      </w:r>
      <w:r w:rsidR="00AE4F26">
        <w:rPr>
          <w:rFonts w:ascii="Times New Roman" w:eastAsia="Times New Roman" w:hAnsi="Times New Roman" w:cs="Times New Roman"/>
          <w:color w:val="000000"/>
          <w:sz w:val="24"/>
          <w:szCs w:val="24"/>
          <w:lang w:eastAsia="tr-TR"/>
        </w:rPr>
        <w:t>si</w:t>
      </w:r>
      <w:r w:rsidR="00AE4F26" w:rsidRPr="00AE4F26">
        <w:rPr>
          <w:rFonts w:ascii="Times New Roman" w:eastAsia="Times New Roman" w:hAnsi="Times New Roman" w:cs="Times New Roman"/>
          <w:color w:val="000000"/>
          <w:sz w:val="24"/>
          <w:szCs w:val="24"/>
          <w:lang w:eastAsia="tr-TR"/>
        </w:rPr>
        <w:t xml:space="preserve"> ve katkı maddesi olarak yaygın şekilde kullanıldığı ve</w:t>
      </w:r>
      <w:r w:rsidR="00AE4F26">
        <w:rPr>
          <w:rFonts w:ascii="Times New Roman" w:eastAsia="Times New Roman" w:hAnsi="Times New Roman" w:cs="Times New Roman"/>
          <w:color w:val="000000"/>
          <w:sz w:val="24"/>
          <w:szCs w:val="24"/>
          <w:lang w:eastAsia="tr-TR"/>
        </w:rPr>
        <w:t xml:space="preserve"> Dünya Sağlık Örgütü (WHO)</w:t>
      </w:r>
      <w:r w:rsidR="00AE4F26" w:rsidRPr="00AE4F26">
        <w:rPr>
          <w:rFonts w:ascii="Times New Roman" w:eastAsia="Times New Roman" w:hAnsi="Times New Roman" w:cs="Times New Roman"/>
          <w:color w:val="000000"/>
          <w:sz w:val="24"/>
          <w:szCs w:val="24"/>
          <w:lang w:eastAsia="tr-TR"/>
        </w:rPr>
        <w:t xml:space="preserve"> ile </w:t>
      </w:r>
      <w:r w:rsidR="00AE4F26">
        <w:rPr>
          <w:rFonts w:ascii="Times New Roman" w:eastAsia="Times New Roman" w:hAnsi="Times New Roman" w:cs="Times New Roman"/>
          <w:color w:val="000000"/>
          <w:sz w:val="24"/>
          <w:szCs w:val="24"/>
          <w:lang w:eastAsia="tr-TR"/>
        </w:rPr>
        <w:t>Avrupa Gıda Güvenilirliği Otoritesi (EFSA)</w:t>
      </w:r>
      <w:r w:rsidR="00AE4F26" w:rsidRPr="00AE4F26">
        <w:rPr>
          <w:rFonts w:ascii="Times New Roman" w:eastAsia="Times New Roman" w:hAnsi="Times New Roman" w:cs="Times New Roman"/>
          <w:color w:val="000000"/>
          <w:sz w:val="24"/>
          <w:szCs w:val="24"/>
          <w:lang w:eastAsia="tr-TR"/>
        </w:rPr>
        <w:t xml:space="preserve"> tarafından kabul edilebilir günlük alım değerinin</w:t>
      </w:r>
      <w:r w:rsidR="00AE4F26">
        <w:rPr>
          <w:rFonts w:ascii="Times New Roman" w:eastAsia="Times New Roman" w:hAnsi="Times New Roman" w:cs="Times New Roman"/>
          <w:color w:val="000000"/>
          <w:sz w:val="24"/>
          <w:szCs w:val="24"/>
          <w:lang w:eastAsia="tr-TR"/>
        </w:rPr>
        <w:t xml:space="preserve"> </w:t>
      </w:r>
      <w:r w:rsidR="00AE4F26" w:rsidRPr="00AE4F26">
        <w:rPr>
          <w:rFonts w:ascii="Times New Roman" w:eastAsia="Times New Roman" w:hAnsi="Times New Roman" w:cs="Times New Roman"/>
          <w:color w:val="000000"/>
          <w:sz w:val="24"/>
          <w:szCs w:val="24"/>
          <w:lang w:eastAsia="tr-TR"/>
        </w:rPr>
        <w:t xml:space="preserve">(ADI) 0,5 mg/kg vücut ağırlığı olarak belirlendiği görülmektedir. Bu kapsamda, 70 kg ağırlığında bir yetişkin için günlük yaklaşık 35 mg </w:t>
      </w:r>
      <w:proofErr w:type="spellStart"/>
      <w:r w:rsidR="00AE4F26" w:rsidRPr="00AE4F26">
        <w:rPr>
          <w:rFonts w:ascii="Times New Roman" w:eastAsia="Times New Roman" w:hAnsi="Times New Roman" w:cs="Times New Roman"/>
          <w:color w:val="000000"/>
          <w:sz w:val="24"/>
          <w:szCs w:val="24"/>
          <w:lang w:eastAsia="tr-TR"/>
        </w:rPr>
        <w:t>geraniol</w:t>
      </w:r>
      <w:proofErr w:type="spellEnd"/>
      <w:r w:rsidR="00AE4F26" w:rsidRPr="00AE4F26">
        <w:rPr>
          <w:rFonts w:ascii="Times New Roman" w:eastAsia="Times New Roman" w:hAnsi="Times New Roman" w:cs="Times New Roman"/>
          <w:color w:val="000000"/>
          <w:sz w:val="24"/>
          <w:szCs w:val="24"/>
          <w:lang w:eastAsia="tr-TR"/>
        </w:rPr>
        <w:t xml:space="preserve"> alımı güvenli sınır olarak hesaplanmaktadır. Bununla birlikte, uçucu yağların seyreltilmeden oral kullanımının </w:t>
      </w:r>
      <w:proofErr w:type="spellStart"/>
      <w:r w:rsidR="00AE4F26" w:rsidRPr="00AE4F26">
        <w:rPr>
          <w:rFonts w:ascii="Times New Roman" w:eastAsia="Times New Roman" w:hAnsi="Times New Roman" w:cs="Times New Roman"/>
          <w:color w:val="000000"/>
          <w:sz w:val="24"/>
          <w:szCs w:val="24"/>
          <w:lang w:eastAsia="tr-TR"/>
        </w:rPr>
        <w:t>mukozal</w:t>
      </w:r>
      <w:proofErr w:type="spellEnd"/>
      <w:r w:rsidR="00AE4F26" w:rsidRPr="00AE4F26">
        <w:rPr>
          <w:rFonts w:ascii="Times New Roman" w:eastAsia="Times New Roman" w:hAnsi="Times New Roman" w:cs="Times New Roman"/>
          <w:color w:val="000000"/>
          <w:sz w:val="24"/>
          <w:szCs w:val="24"/>
          <w:lang w:eastAsia="tr-TR"/>
        </w:rPr>
        <w:t xml:space="preserve"> </w:t>
      </w:r>
      <w:proofErr w:type="spellStart"/>
      <w:r w:rsidR="00AE4F26" w:rsidRPr="00AE4F26">
        <w:rPr>
          <w:rFonts w:ascii="Times New Roman" w:eastAsia="Times New Roman" w:hAnsi="Times New Roman" w:cs="Times New Roman"/>
          <w:color w:val="000000"/>
          <w:sz w:val="24"/>
          <w:szCs w:val="24"/>
          <w:lang w:eastAsia="tr-TR"/>
        </w:rPr>
        <w:t>irritasyona</w:t>
      </w:r>
      <w:proofErr w:type="spellEnd"/>
      <w:r w:rsidR="00AE4F26" w:rsidRPr="00AE4F26">
        <w:rPr>
          <w:rFonts w:ascii="Times New Roman" w:eastAsia="Times New Roman" w:hAnsi="Times New Roman" w:cs="Times New Roman"/>
          <w:color w:val="000000"/>
          <w:sz w:val="24"/>
          <w:szCs w:val="24"/>
          <w:lang w:eastAsia="tr-TR"/>
        </w:rPr>
        <w:t xml:space="preserve"> neden olabileceği bilinmektedir.</w:t>
      </w:r>
      <w:r w:rsidR="00846F02">
        <w:rPr>
          <w:rFonts w:ascii="Times New Roman" w:eastAsia="Times New Roman" w:hAnsi="Times New Roman" w:cs="Times New Roman"/>
          <w:color w:val="000000"/>
          <w:sz w:val="24"/>
          <w:szCs w:val="24"/>
          <w:lang w:eastAsia="tr-TR"/>
        </w:rPr>
        <w:t xml:space="preserve"> Bu nedenle </w:t>
      </w:r>
      <w:proofErr w:type="spellStart"/>
      <w:r w:rsidR="00AE4F26" w:rsidRPr="00AE4F26">
        <w:rPr>
          <w:rFonts w:ascii="Times New Roman" w:eastAsia="Times New Roman" w:hAnsi="Times New Roman" w:cs="Times New Roman"/>
          <w:color w:val="000000"/>
          <w:sz w:val="24"/>
          <w:szCs w:val="24"/>
          <w:lang w:eastAsia="tr-TR"/>
        </w:rPr>
        <w:t>palmaroza</w:t>
      </w:r>
      <w:proofErr w:type="spellEnd"/>
      <w:r w:rsidR="00AE4F26" w:rsidRPr="00AE4F26">
        <w:rPr>
          <w:rFonts w:ascii="Times New Roman" w:eastAsia="Times New Roman" w:hAnsi="Times New Roman" w:cs="Times New Roman"/>
          <w:color w:val="000000"/>
          <w:sz w:val="24"/>
          <w:szCs w:val="24"/>
          <w:lang w:eastAsia="tr-TR"/>
        </w:rPr>
        <w:t xml:space="preserve"> uçucu yağının yalnızca uygun taşıyıcılar içinde ve kontrollü dozlarda, özellikle </w:t>
      </w:r>
      <w:proofErr w:type="spellStart"/>
      <w:r w:rsidR="00AE4F26" w:rsidRPr="00AE4F26">
        <w:rPr>
          <w:rFonts w:ascii="Times New Roman" w:eastAsia="Times New Roman" w:hAnsi="Times New Roman" w:cs="Times New Roman"/>
          <w:color w:val="000000"/>
          <w:sz w:val="24"/>
          <w:szCs w:val="24"/>
          <w:lang w:eastAsia="tr-TR"/>
        </w:rPr>
        <w:t>enterik</w:t>
      </w:r>
      <w:proofErr w:type="spellEnd"/>
      <w:r w:rsidR="00AE4F26" w:rsidRPr="00AE4F26">
        <w:rPr>
          <w:rFonts w:ascii="Times New Roman" w:eastAsia="Times New Roman" w:hAnsi="Times New Roman" w:cs="Times New Roman"/>
          <w:color w:val="000000"/>
          <w:sz w:val="24"/>
          <w:szCs w:val="24"/>
          <w:lang w:eastAsia="tr-TR"/>
        </w:rPr>
        <w:t xml:space="preserve"> kaplı </w:t>
      </w:r>
      <w:proofErr w:type="spellStart"/>
      <w:r w:rsidR="00AE4F26" w:rsidRPr="00AE4F26">
        <w:rPr>
          <w:rFonts w:ascii="Times New Roman" w:eastAsia="Times New Roman" w:hAnsi="Times New Roman" w:cs="Times New Roman"/>
          <w:color w:val="000000"/>
          <w:sz w:val="24"/>
          <w:szCs w:val="24"/>
          <w:lang w:eastAsia="tr-TR"/>
        </w:rPr>
        <w:t>formülasyonlar</w:t>
      </w:r>
      <w:proofErr w:type="spellEnd"/>
      <w:r w:rsidR="00AE4F26" w:rsidRPr="00AE4F26">
        <w:rPr>
          <w:rFonts w:ascii="Times New Roman" w:eastAsia="Times New Roman" w:hAnsi="Times New Roman" w:cs="Times New Roman"/>
          <w:color w:val="000000"/>
          <w:sz w:val="24"/>
          <w:szCs w:val="24"/>
          <w:lang w:eastAsia="tr-TR"/>
        </w:rPr>
        <w:t xml:space="preserve"> şeklinde takviye edici gıda olarak kullanılması önerilmektedir. Günlük toplam </w:t>
      </w:r>
      <w:proofErr w:type="spellStart"/>
      <w:r w:rsidR="00AE4F26" w:rsidRPr="00AE4F26">
        <w:rPr>
          <w:rFonts w:ascii="Times New Roman" w:eastAsia="Times New Roman" w:hAnsi="Times New Roman" w:cs="Times New Roman"/>
          <w:color w:val="000000"/>
          <w:sz w:val="24"/>
          <w:szCs w:val="24"/>
          <w:lang w:eastAsia="tr-TR"/>
        </w:rPr>
        <w:t>geraniol</w:t>
      </w:r>
      <w:proofErr w:type="spellEnd"/>
      <w:r w:rsidR="00AE4F26" w:rsidRPr="00AE4F26">
        <w:rPr>
          <w:rFonts w:ascii="Times New Roman" w:eastAsia="Times New Roman" w:hAnsi="Times New Roman" w:cs="Times New Roman"/>
          <w:color w:val="000000"/>
          <w:sz w:val="24"/>
          <w:szCs w:val="24"/>
          <w:lang w:eastAsia="tr-TR"/>
        </w:rPr>
        <w:t xml:space="preserve"> alımının 35 mg’ı aşmaması gerektiği ve mevcut verilerin sınırlı olması nedeniyle bu tür ürünlerin hamileler, emziren kadınlar ve 18 yaş altındaki bireyler tarafından kullanılmaması gerektiği değerlendirilmektedir. </w:t>
      </w:r>
    </w:p>
    <w:p w14:paraId="28C42D27" w14:textId="4DCBB439" w:rsidR="00F77E79" w:rsidRPr="00A57DFA" w:rsidRDefault="00F77E79" w:rsidP="00846F02">
      <w:pPr>
        <w:pStyle w:val="NormalWeb"/>
        <w:spacing w:line="276" w:lineRule="auto"/>
        <w:ind w:firstLine="708"/>
        <w:jc w:val="both"/>
      </w:pPr>
      <w:r w:rsidRPr="00A57DFA">
        <w:rPr>
          <w:color w:val="000000"/>
        </w:rPr>
        <w:t>Yukarıda açıklanan nedenlerle,</w:t>
      </w:r>
      <w:r w:rsidR="009B6A56" w:rsidRPr="00A57DFA">
        <w:rPr>
          <w:rStyle w:val="Vurgu"/>
        </w:rPr>
        <w:t xml:space="preserve"> </w:t>
      </w:r>
      <w:proofErr w:type="spellStart"/>
      <w:r w:rsidR="009B6A56" w:rsidRPr="00A57DFA">
        <w:rPr>
          <w:rStyle w:val="Vurgu"/>
        </w:rPr>
        <w:t>Cymbopogon</w:t>
      </w:r>
      <w:proofErr w:type="spellEnd"/>
      <w:r w:rsidR="009B6A56" w:rsidRPr="00A57DFA">
        <w:rPr>
          <w:rStyle w:val="Vurgu"/>
        </w:rPr>
        <w:t xml:space="preserve"> martini</w:t>
      </w:r>
      <w:r w:rsidR="009B6A56" w:rsidRPr="00A57DFA">
        <w:t xml:space="preserve"> bitkisinin uçucu yağının; “Sadece takviye edici gıdalarda ve </w:t>
      </w:r>
      <w:proofErr w:type="spellStart"/>
      <w:r w:rsidR="009B6A56" w:rsidRPr="00A57DFA">
        <w:t>enterik</w:t>
      </w:r>
      <w:proofErr w:type="spellEnd"/>
      <w:r w:rsidR="009B6A56" w:rsidRPr="00A57DFA">
        <w:t xml:space="preserve"> kaplı şekilde kullanılabilir, günlük </w:t>
      </w:r>
      <w:proofErr w:type="spellStart"/>
      <w:r w:rsidR="009B6A56" w:rsidRPr="00A57DFA">
        <w:t>geraniol</w:t>
      </w:r>
      <w:proofErr w:type="spellEnd"/>
      <w:r w:rsidR="009B6A56" w:rsidRPr="00A57DFA">
        <w:t xml:space="preserve"> alım miktarı 35 miligramı aşmamalıdır. Bu bitkiyi içeren ürünlerin etiketinde “Hamileler, emzirenler ve 18 yaşın altındaki bireyler tarafından kullanılmamalıdır.” uyarısı yer almalıdır.” koşuluyla Bitki Listesinde pozitif (P) olarak yer alması yönünde tavsiye kararı alınmıştır.</w:t>
      </w:r>
      <w:r w:rsidRPr="00A57DFA">
        <w:rPr>
          <w:color w:val="000000"/>
        </w:rPr>
        <w:tab/>
      </w:r>
    </w:p>
    <w:p w14:paraId="2AEC0926" w14:textId="77777777" w:rsidR="009B6A56" w:rsidRDefault="00F77E79" w:rsidP="009B6A56">
      <w:pPr>
        <w:spacing w:before="260" w:after="120" w:line="276" w:lineRule="auto"/>
        <w:ind w:firstLine="700"/>
        <w:jc w:val="both"/>
        <w:rPr>
          <w:rFonts w:ascii="Times New Roman" w:eastAsia="Times New Roman" w:hAnsi="Times New Roman" w:cs="Times New Roman"/>
          <w:sz w:val="24"/>
          <w:szCs w:val="24"/>
          <w:lang w:eastAsia="tr-TR"/>
        </w:rPr>
      </w:pPr>
      <w:proofErr w:type="gramStart"/>
      <w:r w:rsidRPr="00F77E79">
        <w:rPr>
          <w:rFonts w:ascii="Times New Roman" w:eastAsia="Times New Roman" w:hAnsi="Times New Roman" w:cs="Times New Roman"/>
          <w:color w:val="000000"/>
          <w:sz w:val="24"/>
          <w:szCs w:val="24"/>
          <w:lang w:eastAsia="tr-TR"/>
        </w:rPr>
        <w:t>GKGM -</w:t>
      </w:r>
      <w:proofErr w:type="gramEnd"/>
      <w:r w:rsidRPr="00F77E79">
        <w:rPr>
          <w:rFonts w:ascii="Times New Roman" w:eastAsia="Times New Roman" w:hAnsi="Times New Roman" w:cs="Times New Roman"/>
          <w:color w:val="000000"/>
          <w:sz w:val="24"/>
          <w:szCs w:val="24"/>
          <w:lang w:eastAsia="tr-TR"/>
        </w:rPr>
        <w:t xml:space="preserve"> Risk Değerlendirme ve Laboratuvarlar Daire Başkanlığı, 2026  </w:t>
      </w:r>
    </w:p>
    <w:p w14:paraId="5A2730C1" w14:textId="77777777" w:rsidR="00DF1909" w:rsidRDefault="00DF1909" w:rsidP="009B6A56">
      <w:pPr>
        <w:spacing w:before="260" w:after="120" w:line="276" w:lineRule="auto"/>
        <w:ind w:firstLine="700"/>
        <w:jc w:val="both"/>
        <w:rPr>
          <w:rFonts w:ascii="Times New Roman" w:eastAsia="Times New Roman" w:hAnsi="Times New Roman" w:cs="Times New Roman"/>
          <w:b/>
          <w:bCs/>
          <w:color w:val="000000"/>
          <w:lang w:eastAsia="tr-TR"/>
        </w:rPr>
      </w:pPr>
    </w:p>
    <w:p w14:paraId="3A630200" w14:textId="232B9606" w:rsidR="009B6A56" w:rsidRDefault="00F77E79" w:rsidP="009B6A56">
      <w:pPr>
        <w:spacing w:before="260" w:after="120" w:line="276" w:lineRule="auto"/>
        <w:ind w:firstLine="700"/>
        <w:jc w:val="both"/>
        <w:rPr>
          <w:rFonts w:ascii="Times New Roman" w:eastAsia="Times New Roman" w:hAnsi="Times New Roman" w:cs="Times New Roman"/>
          <w:b/>
          <w:bCs/>
          <w:color w:val="000000"/>
          <w:lang w:eastAsia="tr-TR"/>
        </w:rPr>
      </w:pPr>
      <w:r w:rsidRPr="009B6A56">
        <w:rPr>
          <w:rFonts w:ascii="Times New Roman" w:eastAsia="Times New Roman" w:hAnsi="Times New Roman" w:cs="Times New Roman"/>
          <w:b/>
          <w:bCs/>
          <w:color w:val="000000"/>
          <w:lang w:eastAsia="tr-TR"/>
        </w:rPr>
        <w:t>ANAHTAR KELİMELER</w:t>
      </w:r>
    </w:p>
    <w:p w14:paraId="534B05E2" w14:textId="1DED79B6" w:rsidR="00F77E79" w:rsidRPr="009B6A56" w:rsidRDefault="00F77E79" w:rsidP="009B6A56">
      <w:pPr>
        <w:spacing w:before="260" w:after="120" w:line="276" w:lineRule="auto"/>
        <w:ind w:firstLine="700"/>
        <w:jc w:val="both"/>
        <w:rPr>
          <w:rFonts w:ascii="Times New Roman" w:eastAsia="Times New Roman" w:hAnsi="Times New Roman" w:cs="Times New Roman"/>
          <w:i/>
          <w:iCs/>
          <w:color w:val="000000"/>
          <w:sz w:val="24"/>
          <w:szCs w:val="24"/>
          <w:lang w:eastAsia="tr-TR"/>
        </w:rPr>
      </w:pPr>
      <w:proofErr w:type="spellStart"/>
      <w:r w:rsidRPr="00F77E79">
        <w:rPr>
          <w:rFonts w:ascii="Times New Roman" w:eastAsia="Times New Roman" w:hAnsi="Times New Roman" w:cs="Times New Roman"/>
          <w:i/>
          <w:iCs/>
          <w:color w:val="000000"/>
          <w:sz w:val="24"/>
          <w:szCs w:val="24"/>
          <w:lang w:eastAsia="tr-TR"/>
        </w:rPr>
        <w:lastRenderedPageBreak/>
        <w:t>Cymbopogon</w:t>
      </w:r>
      <w:proofErr w:type="spellEnd"/>
      <w:r w:rsidRPr="00F77E79">
        <w:rPr>
          <w:rFonts w:ascii="Times New Roman" w:eastAsia="Times New Roman" w:hAnsi="Times New Roman" w:cs="Times New Roman"/>
          <w:i/>
          <w:iCs/>
          <w:color w:val="000000"/>
          <w:sz w:val="24"/>
          <w:szCs w:val="24"/>
          <w:lang w:eastAsia="tr-TR"/>
        </w:rPr>
        <w:t xml:space="preserve"> martini</w:t>
      </w:r>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Roxb</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Will</w:t>
      </w:r>
      <w:proofErr w:type="spellEnd"/>
      <w:r w:rsidRPr="00F77E79">
        <w:rPr>
          <w:rFonts w:ascii="Times New Roman" w:eastAsia="Times New Roman" w:hAnsi="Times New Roman" w:cs="Times New Roman"/>
          <w:color w:val="000000"/>
          <w:sz w:val="24"/>
          <w:szCs w:val="24"/>
          <w:lang w:eastAsia="tr-TR"/>
        </w:rPr>
        <w:t>.</w:t>
      </w:r>
      <w:r w:rsidR="00CF4BF6">
        <w:rPr>
          <w:rFonts w:ascii="Times New Roman" w:eastAsia="Times New Roman" w:hAnsi="Times New Roman" w:cs="Times New Roman"/>
          <w:color w:val="000000"/>
          <w:sz w:val="24"/>
          <w:szCs w:val="24"/>
          <w:lang w:eastAsia="tr-TR"/>
        </w:rPr>
        <w:t xml:space="preserve"> </w:t>
      </w:r>
      <w:r w:rsidRPr="00F77E79">
        <w:rPr>
          <w:rFonts w:ascii="Times New Roman" w:eastAsia="Times New Roman" w:hAnsi="Times New Roman" w:cs="Times New Roman"/>
          <w:color w:val="000000"/>
          <w:sz w:val="24"/>
          <w:szCs w:val="24"/>
          <w:lang w:eastAsia="tr-TR"/>
        </w:rPr>
        <w:t>Watson</w:t>
      </w:r>
      <w:r w:rsidRPr="00F77E79">
        <w:rPr>
          <w:rFonts w:ascii="Times New Roman" w:eastAsia="Times New Roman" w:hAnsi="Times New Roman" w:cs="Times New Roman"/>
          <w:i/>
          <w:iCs/>
          <w:color w:val="222222"/>
          <w:sz w:val="24"/>
          <w:szCs w:val="24"/>
          <w:shd w:val="clear" w:color="auto" w:fill="FFFFFF"/>
          <w:lang w:eastAsia="tr-TR"/>
        </w:rPr>
        <w:t>.</w:t>
      </w:r>
      <w:r w:rsidRPr="00F77E79">
        <w:rPr>
          <w:rFonts w:ascii="Times New Roman" w:eastAsia="Times New Roman" w:hAnsi="Times New Roman" w:cs="Times New Roman"/>
          <w:color w:val="000000"/>
          <w:sz w:val="24"/>
          <w:szCs w:val="24"/>
          <w:shd w:val="clear" w:color="auto" w:fill="FFFFFF"/>
          <w:lang w:eastAsia="tr-TR"/>
        </w:rPr>
        <w:t xml:space="preserve">, </w:t>
      </w:r>
      <w:proofErr w:type="spellStart"/>
      <w:r w:rsidR="00CF4BF6">
        <w:rPr>
          <w:rFonts w:ascii="Times New Roman" w:eastAsia="Times New Roman" w:hAnsi="Times New Roman" w:cs="Times New Roman"/>
          <w:color w:val="000000"/>
          <w:sz w:val="24"/>
          <w:szCs w:val="24"/>
          <w:shd w:val="clear" w:color="auto" w:fill="FFFFFF"/>
          <w:lang w:eastAsia="tr-TR"/>
        </w:rPr>
        <w:t>palmaro</w:t>
      </w:r>
      <w:r w:rsidR="000026ED">
        <w:rPr>
          <w:rFonts w:ascii="Times New Roman" w:eastAsia="Times New Roman" w:hAnsi="Times New Roman" w:cs="Times New Roman"/>
          <w:color w:val="000000"/>
          <w:sz w:val="24"/>
          <w:szCs w:val="24"/>
          <w:shd w:val="clear" w:color="auto" w:fill="FFFFFF"/>
          <w:lang w:eastAsia="tr-TR"/>
        </w:rPr>
        <w:t>z</w:t>
      </w:r>
      <w:r w:rsidR="00CF4BF6">
        <w:rPr>
          <w:rFonts w:ascii="Times New Roman" w:eastAsia="Times New Roman" w:hAnsi="Times New Roman" w:cs="Times New Roman"/>
          <w:color w:val="000000"/>
          <w:sz w:val="24"/>
          <w:szCs w:val="24"/>
          <w:shd w:val="clear" w:color="auto" w:fill="FFFFFF"/>
          <w:lang w:eastAsia="tr-TR"/>
        </w:rPr>
        <w:t>a</w:t>
      </w:r>
      <w:proofErr w:type="spellEnd"/>
      <w:r w:rsidR="00CF4BF6">
        <w:rPr>
          <w:rFonts w:ascii="Times New Roman" w:eastAsia="Times New Roman" w:hAnsi="Times New Roman" w:cs="Times New Roman"/>
          <w:color w:val="000000"/>
          <w:sz w:val="24"/>
          <w:szCs w:val="24"/>
          <w:shd w:val="clear" w:color="auto" w:fill="FFFFFF"/>
          <w:lang w:eastAsia="tr-TR"/>
        </w:rPr>
        <w:t xml:space="preserve">, </w:t>
      </w:r>
      <w:r w:rsidRPr="00F77E79">
        <w:rPr>
          <w:rFonts w:ascii="Times New Roman" w:eastAsia="Times New Roman" w:hAnsi="Times New Roman" w:cs="Times New Roman"/>
          <w:color w:val="000000"/>
          <w:sz w:val="24"/>
          <w:szCs w:val="24"/>
          <w:lang w:eastAsia="tr-TR"/>
        </w:rPr>
        <w:t>bitki listesi.</w:t>
      </w:r>
    </w:p>
    <w:p w14:paraId="4329F2CD" w14:textId="77777777" w:rsidR="00A57DFA" w:rsidRDefault="00F77E79" w:rsidP="00A57DFA">
      <w:pPr>
        <w:spacing w:after="240" w:line="276" w:lineRule="auto"/>
        <w:jc w:val="center"/>
        <w:rPr>
          <w:rFonts w:ascii="Times New Roman" w:eastAsia="Times New Roman" w:hAnsi="Times New Roman" w:cs="Times New Roman"/>
          <w:b/>
          <w:bCs/>
          <w:color w:val="000000"/>
          <w:sz w:val="24"/>
          <w:szCs w:val="24"/>
          <w:lang w:eastAsia="tr-TR"/>
        </w:rPr>
        <w:sectPr w:rsidR="00A57DFA">
          <w:headerReference w:type="default" r:id="rId8"/>
          <w:footerReference w:type="default" r:id="rId9"/>
          <w:pgSz w:w="11906" w:h="16838"/>
          <w:pgMar w:top="1417" w:right="1417" w:bottom="1417" w:left="1417" w:header="708" w:footer="708" w:gutter="0"/>
          <w:cols w:space="708"/>
          <w:docGrid w:linePitch="360"/>
        </w:sectPr>
      </w:pPr>
      <w:r w:rsidRPr="00F77E79">
        <w:rPr>
          <w:rFonts w:ascii="Times New Roman" w:eastAsia="Times New Roman" w:hAnsi="Times New Roman" w:cs="Times New Roman"/>
          <w:sz w:val="24"/>
          <w:szCs w:val="24"/>
          <w:lang w:eastAsia="tr-TR"/>
        </w:rPr>
        <w:br/>
      </w:r>
      <w:r w:rsidRPr="00F77E79">
        <w:rPr>
          <w:rFonts w:ascii="Times New Roman" w:eastAsia="Times New Roman" w:hAnsi="Times New Roman" w:cs="Times New Roman"/>
          <w:sz w:val="24"/>
          <w:szCs w:val="24"/>
          <w:lang w:eastAsia="tr-TR"/>
        </w:rPr>
        <w:br/>
      </w:r>
    </w:p>
    <w:p w14:paraId="6EDCCC5B" w14:textId="712C14E1" w:rsidR="00F77E79" w:rsidRPr="00F77E79" w:rsidRDefault="00F77E79" w:rsidP="00A57DFA">
      <w:pPr>
        <w:spacing w:after="240" w:line="276" w:lineRule="auto"/>
        <w:rPr>
          <w:rFonts w:ascii="Times New Roman" w:eastAsia="Times New Roman" w:hAnsi="Times New Roman" w:cs="Times New Roman"/>
          <w:sz w:val="24"/>
          <w:szCs w:val="24"/>
          <w:lang w:eastAsia="tr-TR"/>
        </w:rPr>
      </w:pPr>
      <w:r w:rsidRPr="00F77E79">
        <w:rPr>
          <w:rFonts w:ascii="Times New Roman" w:eastAsia="Times New Roman" w:hAnsi="Times New Roman" w:cs="Times New Roman"/>
          <w:b/>
          <w:bCs/>
          <w:color w:val="000000"/>
          <w:sz w:val="24"/>
          <w:szCs w:val="24"/>
          <w:lang w:eastAsia="tr-TR"/>
        </w:rPr>
        <w:lastRenderedPageBreak/>
        <w:t>KONUNUN GEÇMİŞİ</w:t>
      </w:r>
    </w:p>
    <w:p w14:paraId="2798BDEA" w14:textId="727F2E1F" w:rsidR="00F77E79" w:rsidRPr="00F77E79" w:rsidRDefault="00F77E79" w:rsidP="009C516A">
      <w:pPr>
        <w:spacing w:before="260" w:after="120" w:line="276" w:lineRule="auto"/>
        <w:ind w:firstLine="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Tarım ve </w:t>
      </w:r>
      <w:proofErr w:type="spellStart"/>
      <w:r w:rsidRPr="00F77E79">
        <w:rPr>
          <w:rFonts w:ascii="Times New Roman" w:eastAsia="Times New Roman" w:hAnsi="Times New Roman" w:cs="Times New Roman"/>
          <w:color w:val="000000"/>
          <w:sz w:val="24"/>
          <w:szCs w:val="24"/>
          <w:lang w:eastAsia="tr-TR"/>
        </w:rPr>
        <w:t>Köyişleri</w:t>
      </w:r>
      <w:proofErr w:type="spellEnd"/>
      <w:r w:rsidRPr="00F77E79">
        <w:rPr>
          <w:rFonts w:ascii="Times New Roman" w:eastAsia="Times New Roman" w:hAnsi="Times New Roman" w:cs="Times New Roman"/>
          <w:color w:val="000000"/>
          <w:sz w:val="24"/>
          <w:szCs w:val="24"/>
          <w:lang w:eastAsia="tr-TR"/>
        </w:rPr>
        <w:t xml:space="preserve"> Bakanlığı tarafından 2005 yılında kurulan Bitki Değerlendirme Komisyonu’nun, Almanya, İngiltere, İtalya ve Belçika’da uygulamada olan bitki listelerini gözden geçirerek oluşturduğu ilk “Bitki Listesi” 31/01/2006 tarihinde yayımlanmıştır. Söz konusu </w:t>
      </w:r>
      <w:r w:rsidR="00112DA9">
        <w:rPr>
          <w:rFonts w:ascii="Times New Roman" w:eastAsia="Times New Roman" w:hAnsi="Times New Roman" w:cs="Times New Roman"/>
          <w:color w:val="000000"/>
          <w:sz w:val="24"/>
          <w:szCs w:val="24"/>
          <w:lang w:eastAsia="tr-TR"/>
        </w:rPr>
        <w:t>B</w:t>
      </w:r>
      <w:r w:rsidRPr="00F77E79">
        <w:rPr>
          <w:rFonts w:ascii="Times New Roman" w:eastAsia="Times New Roman" w:hAnsi="Times New Roman" w:cs="Times New Roman"/>
          <w:color w:val="000000"/>
          <w:sz w:val="24"/>
          <w:szCs w:val="24"/>
          <w:lang w:eastAsia="tr-TR"/>
        </w:rPr>
        <w:t xml:space="preserve">itki </w:t>
      </w:r>
      <w:r w:rsidR="00112DA9">
        <w:rPr>
          <w:rFonts w:ascii="Times New Roman" w:eastAsia="Times New Roman" w:hAnsi="Times New Roman" w:cs="Times New Roman"/>
          <w:color w:val="000000"/>
          <w:sz w:val="24"/>
          <w:szCs w:val="24"/>
          <w:lang w:eastAsia="tr-TR"/>
        </w:rPr>
        <w:t>L</w:t>
      </w:r>
      <w:r w:rsidRPr="00F77E79">
        <w:rPr>
          <w:rFonts w:ascii="Times New Roman" w:eastAsia="Times New Roman" w:hAnsi="Times New Roman" w:cs="Times New Roman"/>
          <w:color w:val="000000"/>
          <w:sz w:val="24"/>
          <w:szCs w:val="24"/>
          <w:lang w:eastAsia="tr-TR"/>
        </w:rPr>
        <w:t xml:space="preserve">istesinde zaman içinde gelen talepler doğrultusunda çeşitli güncellemeler yapılmıştır. Tarım ve </w:t>
      </w:r>
      <w:proofErr w:type="spellStart"/>
      <w:r w:rsidRPr="00F77E79">
        <w:rPr>
          <w:rFonts w:ascii="Times New Roman" w:eastAsia="Times New Roman" w:hAnsi="Times New Roman" w:cs="Times New Roman"/>
          <w:color w:val="000000"/>
          <w:sz w:val="24"/>
          <w:szCs w:val="24"/>
          <w:lang w:eastAsia="tr-TR"/>
        </w:rPr>
        <w:t>Köyişleri</w:t>
      </w:r>
      <w:proofErr w:type="spellEnd"/>
      <w:r w:rsidRPr="00F77E79">
        <w:rPr>
          <w:rFonts w:ascii="Times New Roman" w:eastAsia="Times New Roman" w:hAnsi="Times New Roman" w:cs="Times New Roman"/>
          <w:color w:val="000000"/>
          <w:sz w:val="24"/>
          <w:szCs w:val="24"/>
          <w:lang w:eastAsia="tr-TR"/>
        </w:rPr>
        <w:t xml:space="preserve"> Bakanlığı’nın, Gıda, Tarım ve Hayvancılık Bakanlığı olarak yeniden yapılanmasının ardından 2012 yılında, gıdalarda kullanılabilecek bitkiler ve bitkisel preparatların güvenilirlik değerlendirmesinin yapılabilmesi amacıyla Gıda Olarak Kullanılabilecek Bitkiler Komisyonu kurulmuştur.</w:t>
      </w:r>
    </w:p>
    <w:p w14:paraId="29BA8FCD" w14:textId="120E69FD" w:rsidR="00F77E79" w:rsidRPr="00F77E79" w:rsidRDefault="00F77E79" w:rsidP="009C516A">
      <w:pPr>
        <w:spacing w:before="260" w:after="120" w:line="276" w:lineRule="auto"/>
        <w:ind w:firstLine="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Bakanlığın, 2006</w:t>
      </w:r>
      <w:r w:rsidR="00112DA9">
        <w:rPr>
          <w:rFonts w:ascii="Times New Roman" w:eastAsia="Times New Roman" w:hAnsi="Times New Roman" w:cs="Times New Roman"/>
          <w:color w:val="000000"/>
          <w:sz w:val="24"/>
          <w:szCs w:val="24"/>
          <w:lang w:eastAsia="tr-TR"/>
        </w:rPr>
        <w:t>-</w:t>
      </w:r>
      <w:r w:rsidRPr="00F77E79">
        <w:rPr>
          <w:rFonts w:ascii="Times New Roman" w:eastAsia="Times New Roman" w:hAnsi="Times New Roman" w:cs="Times New Roman"/>
          <w:color w:val="000000"/>
          <w:sz w:val="24"/>
          <w:szCs w:val="24"/>
          <w:lang w:eastAsia="tr-TR"/>
        </w:rPr>
        <w:t>2012 yılları arasında gerçekleştirdiği Bitki Listesine ilişkin uygulamalar sırasında, liste ile ilgili bazı değişiklik ihtiyaçları ortaya çıkmış ve ayrıca çeşitli taraflardan gelen talepler olmuştur. Bunun üzerine Tarım ve Orman Bakanlığı, Gıda ve Kontrol Genel Müdürlüğü, Gıda Olarak Kullanılabilecek Bitkiler Komisyonu tarafından Bitki Listesinin yeniden gözden geçirilmesini, listede yer alan bitkilerin güvenilirlik değerlendirmesinin güncel bilimsel çalışmalar ışığında tekrar yapılmasını ve yapılan değerlendirmeye göre bitkilerin listedeki durumunun güncellenmesini talep etmiştir.</w:t>
      </w:r>
    </w:p>
    <w:p w14:paraId="752B847C" w14:textId="77777777" w:rsidR="00F77E79" w:rsidRPr="00F77E79" w:rsidRDefault="00F77E79" w:rsidP="009C516A">
      <w:pPr>
        <w:spacing w:before="260" w:after="120" w:line="276" w:lineRule="auto"/>
        <w:ind w:firstLine="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Diğer taraftan Tarım ve Orman Bakanlığı, Gıda ve Kontrol Genel Müdürlüğü Bitki Listesinde yer almayan bitkilerin Bitki Listesine eklenmesi veya Bitki Listesinde yer alan ancak kullanılan kısmında güncelleme yapılması istenen bitkiler ile ilgili üçüncü taraflardan gelen taleplerin bilimsel çalışmalar çerçevesinde güvenilirlik değerlendirilmesi yapılması; değerlendirmenin ardından bahsi geçen bitkinin/bitki kısmının Bitki Listesine eklenmesi görevini de Gıda Olarak Kullanılabilecek Bitkiler Komisyonuna vermiştir.</w:t>
      </w:r>
    </w:p>
    <w:p w14:paraId="21868129" w14:textId="6ABB13D6" w:rsidR="00F77E79" w:rsidRPr="00F77E79" w:rsidRDefault="00F77E79" w:rsidP="009C516A">
      <w:pPr>
        <w:spacing w:before="260" w:after="120" w:line="276" w:lineRule="auto"/>
        <w:ind w:firstLine="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Bitki Listesinde yer almayan bitkilerden biri olan </w:t>
      </w:r>
      <w:proofErr w:type="spellStart"/>
      <w:r w:rsidRPr="00F77E79">
        <w:rPr>
          <w:rFonts w:ascii="Times New Roman" w:eastAsia="Times New Roman" w:hAnsi="Times New Roman" w:cs="Times New Roman"/>
          <w:i/>
          <w:iCs/>
          <w:sz w:val="24"/>
          <w:szCs w:val="24"/>
          <w:lang w:eastAsia="tr-TR"/>
        </w:rPr>
        <w:t>Cymbopogon</w:t>
      </w:r>
      <w:proofErr w:type="spellEnd"/>
      <w:r w:rsidRPr="00F77E79">
        <w:rPr>
          <w:rFonts w:ascii="Times New Roman" w:eastAsia="Times New Roman" w:hAnsi="Times New Roman" w:cs="Times New Roman"/>
          <w:i/>
          <w:iCs/>
          <w:sz w:val="24"/>
          <w:szCs w:val="24"/>
          <w:lang w:eastAsia="tr-TR"/>
        </w:rPr>
        <w:t xml:space="preserve"> martini</w:t>
      </w:r>
      <w:r w:rsidRPr="00F77E79">
        <w:rPr>
          <w:rFonts w:ascii="Times New Roman" w:eastAsia="Times New Roman" w:hAnsi="Times New Roman" w:cs="Times New Roman"/>
          <w:sz w:val="24"/>
          <w:szCs w:val="24"/>
          <w:lang w:eastAsia="tr-TR"/>
        </w:rPr>
        <w:t xml:space="preserve"> (</w:t>
      </w:r>
      <w:proofErr w:type="spellStart"/>
      <w:r w:rsidRPr="00F77E79">
        <w:rPr>
          <w:rFonts w:ascii="Times New Roman" w:eastAsia="Times New Roman" w:hAnsi="Times New Roman" w:cs="Times New Roman"/>
          <w:sz w:val="24"/>
          <w:szCs w:val="24"/>
          <w:lang w:eastAsia="tr-TR"/>
        </w:rPr>
        <w:t>Roxb</w:t>
      </w:r>
      <w:proofErr w:type="spellEnd"/>
      <w:r w:rsidRPr="00F77E79">
        <w:rPr>
          <w:rFonts w:ascii="Times New Roman" w:eastAsia="Times New Roman" w:hAnsi="Times New Roman" w:cs="Times New Roman"/>
          <w:sz w:val="24"/>
          <w:szCs w:val="24"/>
          <w:lang w:eastAsia="tr-TR"/>
        </w:rPr>
        <w:t xml:space="preserve">.) </w:t>
      </w:r>
      <w:proofErr w:type="spellStart"/>
      <w:r w:rsidRPr="00F77E79">
        <w:rPr>
          <w:rFonts w:ascii="Times New Roman" w:eastAsia="Times New Roman" w:hAnsi="Times New Roman" w:cs="Times New Roman"/>
          <w:sz w:val="24"/>
          <w:szCs w:val="24"/>
          <w:lang w:eastAsia="tr-TR"/>
        </w:rPr>
        <w:t>Will</w:t>
      </w:r>
      <w:proofErr w:type="spellEnd"/>
      <w:r w:rsidRPr="00F77E79">
        <w:rPr>
          <w:rFonts w:ascii="Times New Roman" w:eastAsia="Times New Roman" w:hAnsi="Times New Roman" w:cs="Times New Roman"/>
          <w:sz w:val="24"/>
          <w:szCs w:val="24"/>
          <w:lang w:eastAsia="tr-TR"/>
        </w:rPr>
        <w:t>.</w:t>
      </w:r>
      <w:r w:rsidR="00CF4BF6">
        <w:rPr>
          <w:rFonts w:ascii="Times New Roman" w:eastAsia="Times New Roman" w:hAnsi="Times New Roman" w:cs="Times New Roman"/>
          <w:sz w:val="24"/>
          <w:szCs w:val="24"/>
          <w:lang w:eastAsia="tr-TR"/>
        </w:rPr>
        <w:t xml:space="preserve"> </w:t>
      </w:r>
      <w:r w:rsidRPr="00F77E79">
        <w:rPr>
          <w:rFonts w:ascii="Times New Roman" w:eastAsia="Times New Roman" w:hAnsi="Times New Roman" w:cs="Times New Roman"/>
          <w:sz w:val="24"/>
          <w:szCs w:val="24"/>
          <w:lang w:eastAsia="tr-TR"/>
        </w:rPr>
        <w:t xml:space="preserve">Watson bitkisinin </w:t>
      </w:r>
      <w:proofErr w:type="spellStart"/>
      <w:r w:rsidR="00112DA9" w:rsidRPr="00F77E79">
        <w:rPr>
          <w:rFonts w:ascii="Times New Roman" w:eastAsia="Times New Roman" w:hAnsi="Times New Roman" w:cs="Times New Roman"/>
          <w:sz w:val="24"/>
          <w:szCs w:val="24"/>
          <w:lang w:eastAsia="tr-TR"/>
        </w:rPr>
        <w:t>hidrodistilasyon</w:t>
      </w:r>
      <w:proofErr w:type="spellEnd"/>
      <w:r w:rsidR="00112DA9">
        <w:rPr>
          <w:rFonts w:ascii="Times New Roman" w:eastAsia="Times New Roman" w:hAnsi="Times New Roman" w:cs="Times New Roman"/>
          <w:sz w:val="24"/>
          <w:szCs w:val="24"/>
          <w:lang w:eastAsia="tr-TR"/>
        </w:rPr>
        <w:t xml:space="preserve">/buhar </w:t>
      </w:r>
      <w:proofErr w:type="spellStart"/>
      <w:r w:rsidR="00112DA9">
        <w:rPr>
          <w:rFonts w:ascii="Times New Roman" w:eastAsia="Times New Roman" w:hAnsi="Times New Roman" w:cs="Times New Roman"/>
          <w:sz w:val="24"/>
          <w:szCs w:val="24"/>
          <w:lang w:eastAsia="tr-TR"/>
        </w:rPr>
        <w:t>distilasyonu</w:t>
      </w:r>
      <w:proofErr w:type="spellEnd"/>
      <w:r w:rsidRPr="00F77E79">
        <w:rPr>
          <w:rFonts w:ascii="Times New Roman" w:eastAsia="Times New Roman" w:hAnsi="Times New Roman" w:cs="Times New Roman"/>
          <w:sz w:val="24"/>
          <w:szCs w:val="24"/>
          <w:lang w:eastAsia="tr-TR"/>
        </w:rPr>
        <w:t xml:space="preserve"> ile elde edilmiş uçucu yağ kısmının üçüncü taraflarca yapılan bir başvuru sonucunda listeye eklenmesi talep edilmektedir.</w:t>
      </w:r>
    </w:p>
    <w:p w14:paraId="1CD8C3CE" w14:textId="3EA15DF2" w:rsidR="00F77E79" w:rsidRPr="00F77E79" w:rsidRDefault="00F77E79" w:rsidP="00115D4F">
      <w:pPr>
        <w:spacing w:before="260" w:after="120" w:line="276" w:lineRule="auto"/>
        <w:ind w:firstLine="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b/>
          <w:bCs/>
          <w:color w:val="000000"/>
          <w:sz w:val="24"/>
          <w:szCs w:val="24"/>
          <w:lang w:eastAsia="tr-TR"/>
        </w:rPr>
        <w:t> GÖREV TANIMI</w:t>
      </w:r>
    </w:p>
    <w:p w14:paraId="42DC7DD8" w14:textId="5CDAEE87" w:rsidR="00F77E79" w:rsidRPr="00F77E79" w:rsidRDefault="00F77E79" w:rsidP="009C516A">
      <w:pPr>
        <w:spacing w:before="120" w:after="120" w:line="276" w:lineRule="auto"/>
        <w:ind w:firstLine="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Bitki Listesinde yer almayan bitkilerden biri olan </w:t>
      </w:r>
      <w:proofErr w:type="spellStart"/>
      <w:r w:rsidRPr="00F77E79">
        <w:rPr>
          <w:rFonts w:ascii="Times New Roman" w:eastAsia="Times New Roman" w:hAnsi="Times New Roman" w:cs="Times New Roman"/>
          <w:i/>
          <w:iCs/>
          <w:sz w:val="24"/>
          <w:szCs w:val="24"/>
          <w:lang w:eastAsia="tr-TR"/>
        </w:rPr>
        <w:t>Cymbopogon</w:t>
      </w:r>
      <w:proofErr w:type="spellEnd"/>
      <w:r w:rsidRPr="00F77E79">
        <w:rPr>
          <w:rFonts w:ascii="Times New Roman" w:eastAsia="Times New Roman" w:hAnsi="Times New Roman" w:cs="Times New Roman"/>
          <w:i/>
          <w:iCs/>
          <w:sz w:val="24"/>
          <w:szCs w:val="24"/>
          <w:lang w:eastAsia="tr-TR"/>
        </w:rPr>
        <w:t xml:space="preserve"> martini</w:t>
      </w:r>
      <w:r w:rsidRPr="00F77E79">
        <w:rPr>
          <w:rFonts w:ascii="Times New Roman" w:eastAsia="Times New Roman" w:hAnsi="Times New Roman" w:cs="Times New Roman"/>
          <w:sz w:val="24"/>
          <w:szCs w:val="24"/>
          <w:lang w:eastAsia="tr-TR"/>
        </w:rPr>
        <w:t xml:space="preserve"> (</w:t>
      </w:r>
      <w:proofErr w:type="spellStart"/>
      <w:r w:rsidRPr="00F77E79">
        <w:rPr>
          <w:rFonts w:ascii="Times New Roman" w:eastAsia="Times New Roman" w:hAnsi="Times New Roman" w:cs="Times New Roman"/>
          <w:sz w:val="24"/>
          <w:szCs w:val="24"/>
          <w:lang w:eastAsia="tr-TR"/>
        </w:rPr>
        <w:t>Roxb</w:t>
      </w:r>
      <w:proofErr w:type="spellEnd"/>
      <w:r w:rsidRPr="00F77E79">
        <w:rPr>
          <w:rFonts w:ascii="Times New Roman" w:eastAsia="Times New Roman" w:hAnsi="Times New Roman" w:cs="Times New Roman"/>
          <w:sz w:val="24"/>
          <w:szCs w:val="24"/>
          <w:lang w:eastAsia="tr-TR"/>
        </w:rPr>
        <w:t xml:space="preserve">.) </w:t>
      </w:r>
      <w:proofErr w:type="spellStart"/>
      <w:r w:rsidRPr="00F77E79">
        <w:rPr>
          <w:rFonts w:ascii="Times New Roman" w:eastAsia="Times New Roman" w:hAnsi="Times New Roman" w:cs="Times New Roman"/>
          <w:sz w:val="24"/>
          <w:szCs w:val="24"/>
          <w:lang w:eastAsia="tr-TR"/>
        </w:rPr>
        <w:t>Will</w:t>
      </w:r>
      <w:proofErr w:type="spellEnd"/>
      <w:r w:rsidRPr="00F77E79">
        <w:rPr>
          <w:rFonts w:ascii="Times New Roman" w:eastAsia="Times New Roman" w:hAnsi="Times New Roman" w:cs="Times New Roman"/>
          <w:sz w:val="24"/>
          <w:szCs w:val="24"/>
          <w:lang w:eastAsia="tr-TR"/>
        </w:rPr>
        <w:t>.</w:t>
      </w:r>
      <w:r w:rsidR="00CF4BF6">
        <w:rPr>
          <w:rFonts w:ascii="Times New Roman" w:eastAsia="Times New Roman" w:hAnsi="Times New Roman" w:cs="Times New Roman"/>
          <w:sz w:val="24"/>
          <w:szCs w:val="24"/>
          <w:lang w:eastAsia="tr-TR"/>
        </w:rPr>
        <w:t xml:space="preserve"> </w:t>
      </w:r>
      <w:r w:rsidRPr="00F77E79">
        <w:rPr>
          <w:rFonts w:ascii="Times New Roman" w:eastAsia="Times New Roman" w:hAnsi="Times New Roman" w:cs="Times New Roman"/>
          <w:sz w:val="24"/>
          <w:szCs w:val="24"/>
          <w:lang w:eastAsia="tr-TR"/>
        </w:rPr>
        <w:t xml:space="preserve">Watson bitkisinin </w:t>
      </w:r>
      <w:proofErr w:type="spellStart"/>
      <w:r w:rsidRPr="00F77E79">
        <w:rPr>
          <w:rFonts w:ascii="Times New Roman" w:eastAsia="Times New Roman" w:hAnsi="Times New Roman" w:cs="Times New Roman"/>
          <w:sz w:val="24"/>
          <w:szCs w:val="24"/>
          <w:lang w:eastAsia="tr-TR"/>
        </w:rPr>
        <w:t>hidrodistilasyon</w:t>
      </w:r>
      <w:proofErr w:type="spellEnd"/>
      <w:r w:rsidR="00EF3572">
        <w:rPr>
          <w:rFonts w:ascii="Times New Roman" w:eastAsia="Times New Roman" w:hAnsi="Times New Roman" w:cs="Times New Roman"/>
          <w:sz w:val="24"/>
          <w:szCs w:val="24"/>
          <w:lang w:eastAsia="tr-TR"/>
        </w:rPr>
        <w:t xml:space="preserve">/buhar </w:t>
      </w:r>
      <w:proofErr w:type="spellStart"/>
      <w:r w:rsidR="00EF3572">
        <w:rPr>
          <w:rFonts w:ascii="Times New Roman" w:eastAsia="Times New Roman" w:hAnsi="Times New Roman" w:cs="Times New Roman"/>
          <w:sz w:val="24"/>
          <w:szCs w:val="24"/>
          <w:lang w:eastAsia="tr-TR"/>
        </w:rPr>
        <w:t>distilasyonu</w:t>
      </w:r>
      <w:proofErr w:type="spellEnd"/>
      <w:r w:rsidRPr="00F77E79">
        <w:rPr>
          <w:rFonts w:ascii="Times New Roman" w:eastAsia="Times New Roman" w:hAnsi="Times New Roman" w:cs="Times New Roman"/>
          <w:sz w:val="24"/>
          <w:szCs w:val="24"/>
          <w:lang w:eastAsia="tr-TR"/>
        </w:rPr>
        <w:t xml:space="preserve"> ile elde edilmiş uçucu yağ kısmının </w:t>
      </w:r>
      <w:r w:rsidRPr="00F77E79">
        <w:rPr>
          <w:rFonts w:ascii="Times New Roman" w:eastAsia="Times New Roman" w:hAnsi="Times New Roman" w:cs="Times New Roman"/>
          <w:color w:val="000000"/>
          <w:sz w:val="24"/>
          <w:szCs w:val="24"/>
          <w:lang w:eastAsia="tr-TR"/>
        </w:rPr>
        <w:t>üçüncü taraflarca yapılan bir başvuruya istinaden güvenilirlik değerlendirmesinin güncel bilimsel çalışmalar ışığında yapılması ve yapılan değerlendirmeye göre Bitki Listesinin güncellenmesi.   </w:t>
      </w:r>
    </w:p>
    <w:p w14:paraId="1FD4904D" w14:textId="3760A0AF" w:rsidR="00F77E79" w:rsidRPr="00F77E79" w:rsidRDefault="00F77E79" w:rsidP="009C516A">
      <w:pPr>
        <w:spacing w:after="240" w:line="276" w:lineRule="auto"/>
        <w:rPr>
          <w:rFonts w:ascii="Times New Roman" w:eastAsia="Times New Roman" w:hAnsi="Times New Roman" w:cs="Times New Roman"/>
          <w:sz w:val="24"/>
          <w:szCs w:val="24"/>
          <w:lang w:eastAsia="tr-TR"/>
        </w:rPr>
      </w:pPr>
      <w:r w:rsidRPr="00F77E79">
        <w:rPr>
          <w:rFonts w:ascii="Times New Roman" w:eastAsia="Times New Roman" w:hAnsi="Times New Roman" w:cs="Times New Roman"/>
          <w:sz w:val="24"/>
          <w:szCs w:val="24"/>
          <w:lang w:eastAsia="tr-TR"/>
        </w:rPr>
        <w:br/>
      </w:r>
    </w:p>
    <w:p w14:paraId="4D0B95FC" w14:textId="77777777" w:rsidR="0015571B" w:rsidRDefault="0015571B" w:rsidP="009C516A">
      <w:pPr>
        <w:spacing w:before="120" w:after="120" w:line="276" w:lineRule="auto"/>
        <w:jc w:val="both"/>
        <w:rPr>
          <w:rFonts w:ascii="Times New Roman" w:eastAsia="Times New Roman" w:hAnsi="Times New Roman" w:cs="Times New Roman"/>
          <w:b/>
          <w:bCs/>
          <w:color w:val="000000"/>
          <w:sz w:val="24"/>
          <w:szCs w:val="24"/>
          <w:lang w:eastAsia="tr-TR"/>
        </w:rPr>
        <w:sectPr w:rsidR="0015571B">
          <w:pgSz w:w="11906" w:h="16838"/>
          <w:pgMar w:top="1417" w:right="1417" w:bottom="1417" w:left="1417" w:header="708" w:footer="708" w:gutter="0"/>
          <w:cols w:space="708"/>
          <w:docGrid w:linePitch="360"/>
        </w:sectPr>
      </w:pPr>
    </w:p>
    <w:p w14:paraId="38B0A2BB" w14:textId="6F87EFE8" w:rsidR="00F77E79" w:rsidRPr="00F77E79" w:rsidRDefault="00F77E79" w:rsidP="009C516A">
      <w:pPr>
        <w:spacing w:before="120" w:after="120" w:line="276" w:lineRule="auto"/>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b/>
          <w:bCs/>
          <w:color w:val="000000"/>
          <w:sz w:val="24"/>
          <w:szCs w:val="24"/>
          <w:lang w:eastAsia="tr-TR"/>
        </w:rPr>
        <w:lastRenderedPageBreak/>
        <w:t>DEĞERLENDİRME</w:t>
      </w:r>
    </w:p>
    <w:p w14:paraId="6B5FA1B8" w14:textId="77777777" w:rsidR="00F77E79" w:rsidRPr="00F77E79" w:rsidRDefault="00F77E79" w:rsidP="00A57DFA">
      <w:pPr>
        <w:spacing w:before="120" w:after="120" w:line="276" w:lineRule="auto"/>
        <w:ind w:left="709" w:hanging="349"/>
        <w:rPr>
          <w:rFonts w:ascii="Times New Roman" w:eastAsia="Times New Roman" w:hAnsi="Times New Roman" w:cs="Times New Roman"/>
          <w:sz w:val="24"/>
          <w:szCs w:val="24"/>
          <w:lang w:eastAsia="tr-TR"/>
        </w:rPr>
      </w:pPr>
      <w:r w:rsidRPr="00F77E79">
        <w:rPr>
          <w:rFonts w:ascii="Times New Roman" w:eastAsia="Times New Roman" w:hAnsi="Times New Roman" w:cs="Times New Roman"/>
          <w:b/>
          <w:bCs/>
          <w:color w:val="000000"/>
          <w:sz w:val="24"/>
          <w:szCs w:val="24"/>
          <w:lang w:eastAsia="tr-TR"/>
        </w:rPr>
        <w:t>1.</w:t>
      </w:r>
      <w:r w:rsidRPr="00F77E79">
        <w:rPr>
          <w:rFonts w:ascii="Times New Roman" w:eastAsia="Times New Roman" w:hAnsi="Times New Roman" w:cs="Times New Roman"/>
          <w:color w:val="000000"/>
          <w:sz w:val="24"/>
          <w:szCs w:val="24"/>
          <w:lang w:eastAsia="tr-TR"/>
        </w:rPr>
        <w:tab/>
      </w:r>
      <w:r w:rsidRPr="00F77E79">
        <w:rPr>
          <w:rFonts w:ascii="Times New Roman" w:eastAsia="Times New Roman" w:hAnsi="Times New Roman" w:cs="Times New Roman"/>
          <w:b/>
          <w:bCs/>
          <w:color w:val="000000"/>
          <w:sz w:val="24"/>
          <w:szCs w:val="24"/>
          <w:lang w:eastAsia="tr-TR"/>
        </w:rPr>
        <w:t>Bitkinin Tanımlanması</w:t>
      </w:r>
    </w:p>
    <w:p w14:paraId="4ECBFC1D" w14:textId="40334247" w:rsidR="00F77E79" w:rsidRPr="00F77E79" w:rsidRDefault="00F77E79" w:rsidP="009C516A">
      <w:pPr>
        <w:spacing w:before="120" w:after="120" w:line="276" w:lineRule="auto"/>
        <w:ind w:firstLine="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Familyası: </w:t>
      </w:r>
      <w:proofErr w:type="spellStart"/>
      <w:r w:rsidRPr="00F77E79">
        <w:rPr>
          <w:rFonts w:ascii="Times New Roman" w:eastAsia="Times New Roman" w:hAnsi="Times New Roman" w:cs="Times New Roman"/>
          <w:color w:val="000000"/>
          <w:sz w:val="24"/>
          <w:szCs w:val="24"/>
          <w:shd w:val="clear" w:color="auto" w:fill="FFFFFF"/>
          <w:lang w:eastAsia="tr-TR"/>
        </w:rPr>
        <w:t>Poaceae</w:t>
      </w:r>
      <w:proofErr w:type="spellEnd"/>
      <w:r w:rsidRPr="00F77E79">
        <w:rPr>
          <w:rFonts w:ascii="Times New Roman" w:eastAsia="Times New Roman" w:hAnsi="Times New Roman" w:cs="Times New Roman"/>
          <w:color w:val="000000"/>
          <w:sz w:val="24"/>
          <w:szCs w:val="24"/>
          <w:shd w:val="clear" w:color="auto" w:fill="FFFFFF"/>
          <w:lang w:eastAsia="tr-TR"/>
        </w:rPr>
        <w:t xml:space="preserve"> (Buğdaygiller)</w:t>
      </w:r>
    </w:p>
    <w:p w14:paraId="0293D083" w14:textId="77777777" w:rsidR="00F77E79" w:rsidRPr="00F77E79" w:rsidRDefault="00F77E79" w:rsidP="009C516A">
      <w:pPr>
        <w:spacing w:before="120" w:after="120" w:line="276" w:lineRule="auto"/>
        <w:ind w:left="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Bilimsel (Latince) adı: </w:t>
      </w:r>
      <w:proofErr w:type="spellStart"/>
      <w:r w:rsidRPr="00F77E79">
        <w:rPr>
          <w:rFonts w:ascii="Times New Roman" w:eastAsia="Times New Roman" w:hAnsi="Times New Roman" w:cs="Times New Roman"/>
          <w:i/>
          <w:iCs/>
          <w:color w:val="000000"/>
          <w:sz w:val="24"/>
          <w:szCs w:val="24"/>
          <w:lang w:eastAsia="tr-TR"/>
        </w:rPr>
        <w:t>Cymbopogon</w:t>
      </w:r>
      <w:proofErr w:type="spellEnd"/>
      <w:r w:rsidRPr="00F77E79">
        <w:rPr>
          <w:rFonts w:ascii="Times New Roman" w:eastAsia="Times New Roman" w:hAnsi="Times New Roman" w:cs="Times New Roman"/>
          <w:i/>
          <w:iCs/>
          <w:color w:val="000000"/>
          <w:sz w:val="24"/>
          <w:szCs w:val="24"/>
          <w:lang w:eastAsia="tr-TR"/>
        </w:rPr>
        <w:t xml:space="preserve"> martini</w:t>
      </w:r>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Roxb</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Will.Watson</w:t>
      </w:r>
      <w:proofErr w:type="spellEnd"/>
      <w:r w:rsidRPr="00F77E79">
        <w:rPr>
          <w:rFonts w:ascii="Times New Roman" w:eastAsia="Times New Roman" w:hAnsi="Times New Roman" w:cs="Times New Roman"/>
          <w:color w:val="000000"/>
          <w:sz w:val="24"/>
          <w:szCs w:val="24"/>
          <w:lang w:eastAsia="tr-TR"/>
        </w:rPr>
        <w:t> </w:t>
      </w:r>
    </w:p>
    <w:p w14:paraId="7BB2DB3F" w14:textId="2A39DA86" w:rsidR="00F77E79" w:rsidRPr="00F77E79" w:rsidRDefault="00F77E79" w:rsidP="009C516A">
      <w:pPr>
        <w:spacing w:before="120" w:after="120" w:line="276" w:lineRule="auto"/>
        <w:ind w:left="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Sinonimleri:</w:t>
      </w:r>
      <w:r w:rsidR="00AB4FC5">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Cymbopogon</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motia</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B.</w:t>
      </w:r>
      <w:proofErr w:type="gramStart"/>
      <w:r w:rsidRPr="00F77E79">
        <w:rPr>
          <w:rFonts w:ascii="Times New Roman" w:eastAsia="Times New Roman" w:hAnsi="Times New Roman" w:cs="Times New Roman"/>
          <w:color w:val="000000"/>
          <w:sz w:val="24"/>
          <w:szCs w:val="24"/>
          <w:lang w:eastAsia="tr-TR"/>
        </w:rPr>
        <w:t>K.Gupta</w:t>
      </w:r>
      <w:proofErr w:type="spellEnd"/>
      <w:proofErr w:type="gram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Andropogon</w:t>
      </w:r>
      <w:proofErr w:type="spellEnd"/>
      <w:r w:rsidRPr="00F77E79">
        <w:rPr>
          <w:rFonts w:ascii="Times New Roman" w:eastAsia="Times New Roman" w:hAnsi="Times New Roman" w:cs="Times New Roman"/>
          <w:i/>
          <w:iCs/>
          <w:color w:val="000000"/>
          <w:sz w:val="24"/>
          <w:szCs w:val="24"/>
          <w:lang w:eastAsia="tr-TR"/>
        </w:rPr>
        <w:t xml:space="preserve"> martini</w:t>
      </w:r>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Roxb</w:t>
      </w:r>
      <w:proofErr w:type="spellEnd"/>
      <w:r w:rsidRPr="00F77E79">
        <w:rPr>
          <w:rFonts w:ascii="Times New Roman" w:eastAsia="Times New Roman" w:hAnsi="Times New Roman" w:cs="Times New Roman"/>
          <w:color w:val="000000"/>
          <w:sz w:val="24"/>
          <w:szCs w:val="24"/>
          <w:lang w:eastAsia="tr-TR"/>
        </w:rPr>
        <w:t>. (WFO, 2026)</w:t>
      </w:r>
    </w:p>
    <w:p w14:paraId="1791FFCB" w14:textId="4EE818BF" w:rsidR="00F77E79" w:rsidRPr="00F77E79" w:rsidRDefault="00F77E79" w:rsidP="009C516A">
      <w:pPr>
        <w:spacing w:before="120" w:after="120" w:line="276" w:lineRule="auto"/>
        <w:ind w:left="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Türkçe adı: </w:t>
      </w:r>
      <w:proofErr w:type="spellStart"/>
      <w:r w:rsidR="001313C5">
        <w:rPr>
          <w:rFonts w:ascii="Times New Roman" w:eastAsia="Times New Roman" w:hAnsi="Times New Roman" w:cs="Times New Roman"/>
          <w:color w:val="000000"/>
          <w:sz w:val="24"/>
          <w:szCs w:val="24"/>
          <w:lang w:eastAsia="tr-TR"/>
        </w:rPr>
        <w:t>Palmaroz</w:t>
      </w:r>
      <w:r w:rsidR="001313C5" w:rsidRPr="00F77E79">
        <w:rPr>
          <w:rFonts w:ascii="Times New Roman" w:eastAsia="Times New Roman" w:hAnsi="Times New Roman" w:cs="Times New Roman"/>
          <w:color w:val="000000"/>
          <w:sz w:val="24"/>
          <w:szCs w:val="24"/>
          <w:lang w:eastAsia="tr-TR"/>
        </w:rPr>
        <w:t>a</w:t>
      </w:r>
      <w:proofErr w:type="spellEnd"/>
      <w:r w:rsidR="001313C5">
        <w:rPr>
          <w:rFonts w:ascii="Times New Roman" w:eastAsia="Times New Roman" w:hAnsi="Times New Roman" w:cs="Times New Roman"/>
          <w:color w:val="000000"/>
          <w:sz w:val="24"/>
          <w:szCs w:val="24"/>
          <w:lang w:eastAsia="tr-TR"/>
        </w:rPr>
        <w:t>,</w:t>
      </w:r>
      <w:r w:rsidR="001313C5"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Palmarosa</w:t>
      </w:r>
      <w:proofErr w:type="spellEnd"/>
      <w:r w:rsidR="001313C5" w:rsidRPr="00F77E79">
        <w:rPr>
          <w:rFonts w:ascii="Times New Roman" w:eastAsia="Times New Roman" w:hAnsi="Times New Roman" w:cs="Times New Roman"/>
          <w:color w:val="000000"/>
          <w:sz w:val="24"/>
          <w:szCs w:val="24"/>
          <w:lang w:eastAsia="tr-TR"/>
        </w:rPr>
        <w:t> </w:t>
      </w:r>
      <w:r w:rsidRPr="00F77E79">
        <w:rPr>
          <w:rFonts w:ascii="Times New Roman" w:eastAsia="Times New Roman" w:hAnsi="Times New Roman" w:cs="Times New Roman"/>
          <w:color w:val="000000"/>
          <w:sz w:val="24"/>
          <w:szCs w:val="24"/>
          <w:lang w:eastAsia="tr-TR"/>
        </w:rPr>
        <w:t> </w:t>
      </w:r>
    </w:p>
    <w:p w14:paraId="570EDB8C" w14:textId="77777777" w:rsidR="00F77E79" w:rsidRPr="00F77E79" w:rsidRDefault="00F77E79" w:rsidP="009C516A">
      <w:pPr>
        <w:spacing w:before="120" w:after="120" w:line="276" w:lineRule="auto"/>
        <w:ind w:left="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İngilizce adı: </w:t>
      </w:r>
      <w:proofErr w:type="spellStart"/>
      <w:r w:rsidRPr="00F77E79">
        <w:rPr>
          <w:rFonts w:ascii="Times New Roman" w:eastAsia="Times New Roman" w:hAnsi="Times New Roman" w:cs="Times New Roman"/>
          <w:color w:val="000000"/>
          <w:sz w:val="24"/>
          <w:szCs w:val="24"/>
          <w:lang w:eastAsia="tr-TR"/>
        </w:rPr>
        <w:t>Palmarosa</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Rosagrass</w:t>
      </w:r>
      <w:proofErr w:type="spellEnd"/>
      <w:r w:rsidRPr="00F77E79">
        <w:rPr>
          <w:rFonts w:ascii="Times New Roman" w:eastAsia="Times New Roman" w:hAnsi="Times New Roman" w:cs="Times New Roman"/>
          <w:color w:val="000000"/>
          <w:sz w:val="24"/>
          <w:szCs w:val="24"/>
          <w:lang w:eastAsia="tr-TR"/>
        </w:rPr>
        <w:t>   </w:t>
      </w:r>
    </w:p>
    <w:p w14:paraId="70096AAA" w14:textId="68A900CB" w:rsidR="00F77E79" w:rsidRDefault="00A57DFA" w:rsidP="009C516A">
      <w:pPr>
        <w:spacing w:before="120" w:after="120" w:line="276" w:lineRule="auto"/>
        <w:ind w:firstLine="70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Kullanılan kısımları</w:t>
      </w:r>
      <w:r w:rsidR="00F77E79" w:rsidRPr="00F77E79">
        <w:rPr>
          <w:rFonts w:ascii="Times New Roman" w:eastAsia="Times New Roman" w:hAnsi="Times New Roman" w:cs="Times New Roman"/>
          <w:color w:val="000000"/>
          <w:sz w:val="24"/>
          <w:szCs w:val="24"/>
          <w:lang w:eastAsia="tr-TR"/>
        </w:rPr>
        <w:t>:</w:t>
      </w:r>
      <w:r w:rsidR="006C235B">
        <w:rPr>
          <w:rFonts w:ascii="Times New Roman" w:eastAsia="Times New Roman" w:hAnsi="Times New Roman" w:cs="Times New Roman"/>
          <w:color w:val="000000"/>
          <w:sz w:val="24"/>
          <w:szCs w:val="24"/>
          <w:lang w:eastAsia="tr-TR"/>
        </w:rPr>
        <w:t xml:space="preserve"> </w:t>
      </w:r>
      <w:r w:rsidR="00F77E79" w:rsidRPr="00F77E79">
        <w:rPr>
          <w:rFonts w:ascii="Times New Roman" w:eastAsia="Times New Roman" w:hAnsi="Times New Roman" w:cs="Times New Roman"/>
          <w:color w:val="000000"/>
          <w:sz w:val="24"/>
          <w:szCs w:val="24"/>
          <w:lang w:eastAsia="tr-TR"/>
        </w:rPr>
        <w:t>Uçucu yağ </w:t>
      </w:r>
    </w:p>
    <w:p w14:paraId="5A767E62" w14:textId="6F1A929B" w:rsidR="00A57DFA" w:rsidRDefault="00A57DFA" w:rsidP="00A57DFA">
      <w:pPr>
        <w:spacing w:before="120" w:after="120"/>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Kullanılan kısmın İngilizcesi: </w:t>
      </w:r>
      <w:proofErr w:type="spellStart"/>
      <w:r>
        <w:rPr>
          <w:rFonts w:ascii="Times New Roman" w:eastAsia="Times New Roman" w:hAnsi="Times New Roman" w:cs="Times New Roman"/>
          <w:sz w:val="24"/>
          <w:szCs w:val="24"/>
        </w:rPr>
        <w:t>Essential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oil</w:t>
      </w:r>
      <w:proofErr w:type="spellEnd"/>
    </w:p>
    <w:p w14:paraId="61C64373" w14:textId="77777777" w:rsidR="00A57DFA" w:rsidRPr="00F77E79" w:rsidRDefault="00A57DFA" w:rsidP="009C516A">
      <w:pPr>
        <w:spacing w:before="120" w:after="120" w:line="276" w:lineRule="auto"/>
        <w:ind w:firstLine="700"/>
        <w:jc w:val="both"/>
        <w:rPr>
          <w:rFonts w:ascii="Times New Roman" w:eastAsia="Times New Roman" w:hAnsi="Times New Roman" w:cs="Times New Roman"/>
          <w:sz w:val="24"/>
          <w:szCs w:val="24"/>
          <w:lang w:eastAsia="tr-TR"/>
        </w:rPr>
      </w:pPr>
    </w:p>
    <w:p w14:paraId="344DEFAC" w14:textId="456DCB8E" w:rsidR="00F77E79" w:rsidRPr="00F77E79" w:rsidRDefault="00F77E79" w:rsidP="00A57DFA">
      <w:pPr>
        <w:spacing w:before="120" w:after="120" w:line="276" w:lineRule="auto"/>
        <w:ind w:left="36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b/>
          <w:bCs/>
          <w:color w:val="000000"/>
          <w:sz w:val="24"/>
          <w:szCs w:val="24"/>
          <w:lang w:eastAsia="tr-TR"/>
        </w:rPr>
        <w:t>2.</w:t>
      </w:r>
      <w:r w:rsidRPr="00F77E79">
        <w:rPr>
          <w:rFonts w:ascii="Times New Roman" w:eastAsia="Times New Roman" w:hAnsi="Times New Roman" w:cs="Times New Roman"/>
          <w:color w:val="000000"/>
          <w:sz w:val="24"/>
          <w:szCs w:val="24"/>
          <w:lang w:eastAsia="tr-TR"/>
        </w:rPr>
        <w:t xml:space="preserve">    </w:t>
      </w:r>
      <w:r w:rsidRPr="00F77E79">
        <w:rPr>
          <w:rFonts w:ascii="Times New Roman" w:eastAsia="Times New Roman" w:hAnsi="Times New Roman" w:cs="Times New Roman"/>
          <w:b/>
          <w:bCs/>
          <w:color w:val="000000"/>
          <w:sz w:val="24"/>
          <w:szCs w:val="24"/>
          <w:lang w:eastAsia="tr-TR"/>
        </w:rPr>
        <w:t>Üretim Prosesi</w:t>
      </w:r>
    </w:p>
    <w:p w14:paraId="0261543A" w14:textId="612E1E5E" w:rsidR="00F77E79" w:rsidRPr="00F77E79" w:rsidRDefault="00F77E79" w:rsidP="002B5BE8">
      <w:pPr>
        <w:spacing w:before="120" w:after="120" w:line="276" w:lineRule="auto"/>
        <w:ind w:firstLine="70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Kuru</w:t>
      </w:r>
      <w:r w:rsidR="00EF3572">
        <w:rPr>
          <w:rFonts w:ascii="Times New Roman" w:eastAsia="Times New Roman" w:hAnsi="Times New Roman" w:cs="Times New Roman"/>
          <w:color w:val="000000"/>
          <w:sz w:val="24"/>
          <w:szCs w:val="24"/>
          <w:lang w:eastAsia="tr-TR"/>
        </w:rPr>
        <w:t>tulmuş</w:t>
      </w:r>
      <w:r w:rsidRPr="00F77E79">
        <w:rPr>
          <w:rFonts w:ascii="Times New Roman" w:eastAsia="Times New Roman" w:hAnsi="Times New Roman" w:cs="Times New Roman"/>
          <w:color w:val="000000"/>
          <w:sz w:val="24"/>
          <w:szCs w:val="24"/>
          <w:lang w:eastAsia="tr-TR"/>
        </w:rPr>
        <w:t xml:space="preserve"> toprak üstü (yaprak ve çiçekli üst dallarından) kısımlardan su veya buhar </w:t>
      </w:r>
      <w:proofErr w:type="spellStart"/>
      <w:r w:rsidRPr="00F77E79">
        <w:rPr>
          <w:rFonts w:ascii="Times New Roman" w:eastAsia="Times New Roman" w:hAnsi="Times New Roman" w:cs="Times New Roman"/>
          <w:color w:val="000000"/>
          <w:sz w:val="24"/>
          <w:szCs w:val="24"/>
          <w:lang w:eastAsia="tr-TR"/>
        </w:rPr>
        <w:t>distilasyonu</w:t>
      </w:r>
      <w:proofErr w:type="spellEnd"/>
      <w:r w:rsidRPr="00F77E79">
        <w:rPr>
          <w:rFonts w:ascii="Times New Roman" w:eastAsia="Times New Roman" w:hAnsi="Times New Roman" w:cs="Times New Roman"/>
          <w:color w:val="000000"/>
          <w:sz w:val="24"/>
          <w:szCs w:val="24"/>
          <w:lang w:eastAsia="tr-TR"/>
        </w:rPr>
        <w:t xml:space="preserve"> ile </w:t>
      </w:r>
      <w:r w:rsidR="00846F02" w:rsidRPr="00DA12D3">
        <w:rPr>
          <w:rFonts w:ascii="Times New Roman" w:eastAsia="Times New Roman" w:hAnsi="Times New Roman" w:cs="Times New Roman"/>
          <w:color w:val="000000"/>
          <w:sz w:val="24"/>
          <w:szCs w:val="24"/>
          <w:lang w:eastAsia="tr-TR"/>
        </w:rPr>
        <w:t>uçucu yağ elde edilmektedir.</w:t>
      </w:r>
    </w:p>
    <w:p w14:paraId="6AE8DA75" w14:textId="77777777" w:rsidR="00F77E79" w:rsidRPr="00F77E79" w:rsidRDefault="00F77E79" w:rsidP="00FC6DFA">
      <w:pPr>
        <w:spacing w:before="360" w:after="120" w:line="276" w:lineRule="auto"/>
        <w:ind w:left="36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b/>
          <w:bCs/>
          <w:color w:val="000000"/>
          <w:sz w:val="24"/>
          <w:szCs w:val="24"/>
          <w:lang w:eastAsia="tr-TR"/>
        </w:rPr>
        <w:t>3.</w:t>
      </w:r>
      <w:r w:rsidRPr="00F77E79">
        <w:rPr>
          <w:rFonts w:ascii="Times New Roman" w:eastAsia="Times New Roman" w:hAnsi="Times New Roman" w:cs="Times New Roman"/>
          <w:color w:val="000000"/>
          <w:sz w:val="24"/>
          <w:szCs w:val="24"/>
          <w:lang w:eastAsia="tr-TR"/>
        </w:rPr>
        <w:t xml:space="preserve">      </w:t>
      </w:r>
      <w:r w:rsidRPr="00F77E79">
        <w:rPr>
          <w:rFonts w:ascii="Times New Roman" w:eastAsia="Times New Roman" w:hAnsi="Times New Roman" w:cs="Times New Roman"/>
          <w:b/>
          <w:bCs/>
          <w:color w:val="000000"/>
          <w:sz w:val="24"/>
          <w:szCs w:val="24"/>
          <w:lang w:eastAsia="tr-TR"/>
        </w:rPr>
        <w:t>Bitkinin Kullanım Şekli</w:t>
      </w:r>
    </w:p>
    <w:p w14:paraId="0211ACDA" w14:textId="77777777" w:rsidR="00F77E79" w:rsidRPr="00A57DFA" w:rsidRDefault="00F77E79" w:rsidP="00A57DFA">
      <w:pPr>
        <w:spacing w:before="120" w:after="120" w:line="276" w:lineRule="auto"/>
        <w:ind w:left="1241" w:hanging="442"/>
        <w:jc w:val="both"/>
        <w:rPr>
          <w:rFonts w:ascii="Times New Roman" w:eastAsia="Times New Roman" w:hAnsi="Times New Roman" w:cs="Times New Roman"/>
          <w:i/>
          <w:sz w:val="24"/>
          <w:szCs w:val="24"/>
          <w:lang w:eastAsia="tr-TR"/>
        </w:rPr>
      </w:pPr>
      <w:r w:rsidRPr="00A57DFA">
        <w:rPr>
          <w:rFonts w:ascii="Times New Roman" w:eastAsia="Times New Roman" w:hAnsi="Times New Roman" w:cs="Times New Roman"/>
          <w:b/>
          <w:bCs/>
          <w:i/>
          <w:color w:val="000000"/>
          <w:sz w:val="24"/>
          <w:szCs w:val="24"/>
          <w:lang w:eastAsia="tr-TR"/>
        </w:rPr>
        <w:t>3.1.</w:t>
      </w:r>
      <w:r w:rsidRPr="00A57DFA">
        <w:rPr>
          <w:rFonts w:ascii="Times New Roman" w:eastAsia="Times New Roman" w:hAnsi="Times New Roman" w:cs="Times New Roman"/>
          <w:i/>
          <w:color w:val="000000"/>
          <w:sz w:val="24"/>
          <w:szCs w:val="24"/>
          <w:lang w:eastAsia="tr-TR"/>
        </w:rPr>
        <w:t xml:space="preserve">   </w:t>
      </w:r>
      <w:r w:rsidRPr="00A57DFA">
        <w:rPr>
          <w:rFonts w:ascii="Times New Roman" w:eastAsia="Times New Roman" w:hAnsi="Times New Roman" w:cs="Times New Roman"/>
          <w:b/>
          <w:bCs/>
          <w:i/>
          <w:color w:val="000000"/>
          <w:sz w:val="24"/>
          <w:szCs w:val="24"/>
          <w:lang w:eastAsia="tr-TR"/>
        </w:rPr>
        <w:t>Hedef Popülasyon</w:t>
      </w:r>
    </w:p>
    <w:p w14:paraId="7B20D26D" w14:textId="167891ED" w:rsidR="00F77E79" w:rsidRPr="00F77E79" w:rsidRDefault="00F77E79" w:rsidP="009C516A">
      <w:pPr>
        <w:spacing w:before="260" w:after="260" w:line="276" w:lineRule="auto"/>
        <w:ind w:firstLine="567"/>
        <w:jc w:val="both"/>
        <w:rPr>
          <w:rFonts w:ascii="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Gebe, emziren anneler ve 18 yaş altındaki bireylerde dahilen güvenli kullanımları ile ilgili yeterli çalışma bulunmadığından bu grupta kullanılması önerilmez</w:t>
      </w:r>
      <w:r w:rsidR="00DE355C">
        <w:rPr>
          <w:rFonts w:ascii="Times New Roman" w:eastAsia="Times New Roman" w:hAnsi="Times New Roman" w:cs="Times New Roman"/>
          <w:color w:val="000000"/>
          <w:sz w:val="24"/>
          <w:szCs w:val="24"/>
          <w:lang w:eastAsia="tr-TR"/>
        </w:rPr>
        <w:t xml:space="preserve"> </w:t>
      </w:r>
      <w:r w:rsidR="009B6A56" w:rsidRPr="009B6A56">
        <w:rPr>
          <w:rFonts w:ascii="Times New Roman" w:hAnsi="Times New Roman" w:cs="Times New Roman"/>
          <w:sz w:val="24"/>
          <w:szCs w:val="24"/>
          <w:lang w:eastAsia="tr-TR"/>
        </w:rPr>
        <w:t>(</w:t>
      </w:r>
      <w:proofErr w:type="spellStart"/>
      <w:r w:rsidR="00AB4FC5" w:rsidRPr="009B6A56">
        <w:rPr>
          <w:rFonts w:ascii="Times New Roman" w:hAnsi="Times New Roman" w:cs="Times New Roman"/>
          <w:sz w:val="24"/>
          <w:szCs w:val="24"/>
          <w:lang w:eastAsia="tr-TR"/>
        </w:rPr>
        <w:t>Price</w:t>
      </w:r>
      <w:proofErr w:type="spellEnd"/>
      <w:r w:rsidR="00AB4FC5" w:rsidRPr="009B6A56">
        <w:rPr>
          <w:rFonts w:ascii="Times New Roman" w:hAnsi="Times New Roman" w:cs="Times New Roman"/>
          <w:sz w:val="24"/>
          <w:szCs w:val="24"/>
          <w:lang w:eastAsia="tr-TR"/>
        </w:rPr>
        <w:t xml:space="preserve"> ve </w:t>
      </w:r>
      <w:proofErr w:type="spellStart"/>
      <w:r w:rsidRPr="009B6A56">
        <w:rPr>
          <w:rFonts w:ascii="Times New Roman" w:hAnsi="Times New Roman" w:cs="Times New Roman"/>
          <w:sz w:val="24"/>
          <w:szCs w:val="24"/>
          <w:lang w:eastAsia="tr-TR"/>
        </w:rPr>
        <w:t>Price</w:t>
      </w:r>
      <w:proofErr w:type="spellEnd"/>
      <w:r w:rsidRPr="00F77E79">
        <w:rPr>
          <w:rFonts w:ascii="Times New Roman" w:hAnsi="Times New Roman" w:cs="Times New Roman"/>
          <w:sz w:val="24"/>
          <w:szCs w:val="24"/>
          <w:lang w:eastAsia="tr-TR"/>
        </w:rPr>
        <w:t xml:space="preserve">, 2007; </w:t>
      </w:r>
      <w:proofErr w:type="spellStart"/>
      <w:r w:rsidRPr="00F77E79">
        <w:rPr>
          <w:rFonts w:ascii="Times New Roman" w:hAnsi="Times New Roman" w:cs="Times New Roman"/>
          <w:sz w:val="24"/>
          <w:szCs w:val="24"/>
          <w:lang w:eastAsia="tr-TR"/>
        </w:rPr>
        <w:t>Tisserand</w:t>
      </w:r>
      <w:proofErr w:type="spellEnd"/>
      <w:r w:rsidRPr="00F77E79">
        <w:rPr>
          <w:rFonts w:ascii="Times New Roman" w:hAnsi="Times New Roman" w:cs="Times New Roman"/>
          <w:sz w:val="24"/>
          <w:szCs w:val="24"/>
          <w:lang w:eastAsia="tr-TR"/>
        </w:rPr>
        <w:t xml:space="preserve">, 2012; </w:t>
      </w:r>
      <w:proofErr w:type="spellStart"/>
      <w:r w:rsidR="00AB4FC5">
        <w:rPr>
          <w:rFonts w:ascii="Times New Roman" w:hAnsi="Times New Roman" w:cs="Times New Roman"/>
          <w:sz w:val="24"/>
          <w:szCs w:val="24"/>
          <w:lang w:eastAsia="tr-TR"/>
        </w:rPr>
        <w:t>Halkon</w:t>
      </w:r>
      <w:proofErr w:type="spellEnd"/>
      <w:r w:rsidR="00AB4FC5">
        <w:rPr>
          <w:rFonts w:ascii="Times New Roman" w:hAnsi="Times New Roman" w:cs="Times New Roman"/>
          <w:sz w:val="24"/>
          <w:szCs w:val="24"/>
          <w:lang w:eastAsia="tr-TR"/>
        </w:rPr>
        <w:t xml:space="preserve">, 2013; </w:t>
      </w:r>
      <w:proofErr w:type="spellStart"/>
      <w:r w:rsidR="00AB4FC5">
        <w:rPr>
          <w:rFonts w:ascii="Times New Roman" w:hAnsi="Times New Roman" w:cs="Times New Roman"/>
          <w:sz w:val="24"/>
          <w:szCs w:val="24"/>
          <w:lang w:eastAsia="tr-TR"/>
        </w:rPr>
        <w:t>Lemmens-Gruber</w:t>
      </w:r>
      <w:proofErr w:type="spellEnd"/>
      <w:r w:rsidR="00AB4FC5">
        <w:rPr>
          <w:rFonts w:ascii="Times New Roman" w:hAnsi="Times New Roman" w:cs="Times New Roman"/>
          <w:sz w:val="24"/>
          <w:szCs w:val="24"/>
          <w:lang w:eastAsia="tr-TR"/>
        </w:rPr>
        <w:t>,</w:t>
      </w:r>
      <w:r w:rsidRPr="00F77E79">
        <w:rPr>
          <w:rFonts w:ascii="Times New Roman" w:hAnsi="Times New Roman" w:cs="Times New Roman"/>
          <w:sz w:val="24"/>
          <w:szCs w:val="24"/>
          <w:lang w:eastAsia="tr-TR"/>
        </w:rPr>
        <w:t xml:space="preserve"> 2020, </w:t>
      </w:r>
      <w:proofErr w:type="spellStart"/>
      <w:r w:rsidRPr="00F77E79">
        <w:rPr>
          <w:rFonts w:ascii="Times New Roman" w:hAnsi="Times New Roman" w:cs="Times New Roman"/>
          <w:sz w:val="24"/>
          <w:szCs w:val="24"/>
          <w:lang w:eastAsia="tr-TR"/>
        </w:rPr>
        <w:t>Paixao</w:t>
      </w:r>
      <w:proofErr w:type="spellEnd"/>
      <w:r w:rsidRPr="00F77E79">
        <w:rPr>
          <w:rFonts w:ascii="Times New Roman" w:hAnsi="Times New Roman" w:cs="Times New Roman"/>
          <w:sz w:val="24"/>
          <w:szCs w:val="24"/>
          <w:lang w:eastAsia="tr-TR"/>
        </w:rPr>
        <w:t>, 2024).</w:t>
      </w:r>
    </w:p>
    <w:p w14:paraId="35359863" w14:textId="77777777" w:rsidR="00F77E79" w:rsidRPr="00A57DFA" w:rsidRDefault="00F77E79" w:rsidP="00A57DFA">
      <w:pPr>
        <w:spacing w:before="120" w:after="120" w:line="276" w:lineRule="auto"/>
        <w:ind w:left="1241" w:hanging="442"/>
        <w:jc w:val="both"/>
        <w:rPr>
          <w:rFonts w:ascii="Times New Roman" w:eastAsia="Times New Roman" w:hAnsi="Times New Roman" w:cs="Times New Roman"/>
          <w:i/>
          <w:sz w:val="24"/>
          <w:szCs w:val="24"/>
          <w:lang w:eastAsia="tr-TR"/>
        </w:rPr>
      </w:pPr>
      <w:r w:rsidRPr="00A57DFA">
        <w:rPr>
          <w:rFonts w:ascii="Times New Roman" w:eastAsia="Times New Roman" w:hAnsi="Times New Roman" w:cs="Times New Roman"/>
          <w:b/>
          <w:bCs/>
          <w:i/>
          <w:color w:val="000000"/>
          <w:sz w:val="24"/>
          <w:szCs w:val="24"/>
          <w:lang w:eastAsia="tr-TR"/>
        </w:rPr>
        <w:t>3.2.</w:t>
      </w:r>
      <w:r w:rsidRPr="00A57DFA">
        <w:rPr>
          <w:rFonts w:ascii="Times New Roman" w:eastAsia="Times New Roman" w:hAnsi="Times New Roman" w:cs="Times New Roman"/>
          <w:i/>
          <w:color w:val="000000"/>
          <w:sz w:val="24"/>
          <w:szCs w:val="24"/>
          <w:lang w:eastAsia="tr-TR"/>
        </w:rPr>
        <w:t xml:space="preserve">   </w:t>
      </w:r>
      <w:r w:rsidRPr="00A57DFA">
        <w:rPr>
          <w:rFonts w:ascii="Times New Roman" w:eastAsia="Times New Roman" w:hAnsi="Times New Roman" w:cs="Times New Roman"/>
          <w:b/>
          <w:bCs/>
          <w:i/>
          <w:color w:val="000000"/>
          <w:sz w:val="24"/>
          <w:szCs w:val="24"/>
          <w:lang w:eastAsia="tr-TR"/>
        </w:rPr>
        <w:t>Önerilen kullanım şekli</w:t>
      </w:r>
    </w:p>
    <w:p w14:paraId="7D3CE4DA" w14:textId="7F214F14" w:rsidR="00F77E79" w:rsidRPr="00F77E79" w:rsidRDefault="006C235B" w:rsidP="009C516A">
      <w:pPr>
        <w:spacing w:before="260" w:after="260" w:line="276" w:lineRule="auto"/>
        <w:ind w:firstLine="360"/>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 xml:space="preserve">  </w:t>
      </w:r>
      <w:proofErr w:type="spellStart"/>
      <w:r w:rsidR="00F77E79" w:rsidRPr="00F77E79">
        <w:rPr>
          <w:rFonts w:ascii="Times New Roman" w:eastAsia="Times New Roman" w:hAnsi="Times New Roman" w:cs="Times New Roman"/>
          <w:color w:val="000000"/>
          <w:sz w:val="24"/>
          <w:szCs w:val="24"/>
          <w:lang w:eastAsia="tr-TR"/>
        </w:rPr>
        <w:t>Palmaro</w:t>
      </w:r>
      <w:r w:rsidR="00112DA9">
        <w:rPr>
          <w:rFonts w:ascii="Times New Roman" w:eastAsia="Times New Roman" w:hAnsi="Times New Roman" w:cs="Times New Roman"/>
          <w:color w:val="000000"/>
          <w:sz w:val="24"/>
          <w:szCs w:val="24"/>
          <w:lang w:eastAsia="tr-TR"/>
        </w:rPr>
        <w:t>z</w:t>
      </w:r>
      <w:r w:rsidR="00F77E79" w:rsidRPr="00F77E79">
        <w:rPr>
          <w:rFonts w:ascii="Times New Roman" w:eastAsia="Times New Roman" w:hAnsi="Times New Roman" w:cs="Times New Roman"/>
          <w:color w:val="000000"/>
          <w:sz w:val="24"/>
          <w:szCs w:val="24"/>
          <w:lang w:eastAsia="tr-TR"/>
        </w:rPr>
        <w:t>a</w:t>
      </w:r>
      <w:proofErr w:type="spellEnd"/>
      <w:r w:rsidR="00F77E79" w:rsidRPr="00F77E79">
        <w:rPr>
          <w:rFonts w:ascii="Times New Roman" w:eastAsia="Times New Roman" w:hAnsi="Times New Roman" w:cs="Times New Roman"/>
          <w:color w:val="000000"/>
          <w:sz w:val="24"/>
          <w:szCs w:val="24"/>
          <w:lang w:eastAsia="tr-TR"/>
        </w:rPr>
        <w:t xml:space="preserve"> uçucu yağı gıdalarda aroma vericidir. Uçucu yağın dahilen veya </w:t>
      </w:r>
      <w:proofErr w:type="spellStart"/>
      <w:r w:rsidR="00F77E79" w:rsidRPr="00F77E79">
        <w:rPr>
          <w:rFonts w:ascii="Times New Roman" w:eastAsia="Times New Roman" w:hAnsi="Times New Roman" w:cs="Times New Roman"/>
          <w:color w:val="000000"/>
          <w:sz w:val="24"/>
          <w:szCs w:val="24"/>
          <w:lang w:eastAsia="tr-TR"/>
        </w:rPr>
        <w:t>topikal</w:t>
      </w:r>
      <w:proofErr w:type="spellEnd"/>
      <w:r w:rsidR="00F77E79" w:rsidRPr="00F77E79">
        <w:rPr>
          <w:rFonts w:ascii="Times New Roman" w:eastAsia="Times New Roman" w:hAnsi="Times New Roman" w:cs="Times New Roman"/>
          <w:color w:val="000000"/>
          <w:sz w:val="24"/>
          <w:szCs w:val="24"/>
          <w:lang w:eastAsia="tr-TR"/>
        </w:rPr>
        <w:t xml:space="preserve"> yoldan doğrudan geleneksel kullanımı yoktur. Uçucu yağlar </w:t>
      </w:r>
      <w:proofErr w:type="spellStart"/>
      <w:r w:rsidR="00F77E79" w:rsidRPr="00F77E79">
        <w:rPr>
          <w:rFonts w:ascii="Times New Roman" w:eastAsia="Times New Roman" w:hAnsi="Times New Roman" w:cs="Times New Roman"/>
          <w:color w:val="000000"/>
          <w:sz w:val="24"/>
          <w:szCs w:val="24"/>
          <w:lang w:eastAsia="tr-TR"/>
        </w:rPr>
        <w:t>terpenlerin</w:t>
      </w:r>
      <w:proofErr w:type="spellEnd"/>
      <w:r w:rsidR="00F77E79" w:rsidRPr="00F77E79">
        <w:rPr>
          <w:rFonts w:ascii="Times New Roman" w:eastAsia="Times New Roman" w:hAnsi="Times New Roman" w:cs="Times New Roman"/>
          <w:color w:val="000000"/>
          <w:sz w:val="24"/>
          <w:szCs w:val="24"/>
          <w:lang w:eastAsia="tr-TR"/>
        </w:rPr>
        <w:t xml:space="preserve"> konsantre karışımlarıdır. Uygun bir taşıyıcı ile doğru oranda seyreltilmeden veya </w:t>
      </w:r>
      <w:proofErr w:type="spellStart"/>
      <w:r w:rsidR="00F77E79" w:rsidRPr="00F77E79">
        <w:rPr>
          <w:rFonts w:ascii="Times New Roman" w:eastAsia="Times New Roman" w:hAnsi="Times New Roman" w:cs="Times New Roman"/>
          <w:color w:val="000000"/>
          <w:sz w:val="24"/>
          <w:szCs w:val="24"/>
          <w:lang w:eastAsia="tr-TR"/>
        </w:rPr>
        <w:t>enkapsüle</w:t>
      </w:r>
      <w:proofErr w:type="spellEnd"/>
      <w:r w:rsidR="00F77E79" w:rsidRPr="00F77E79">
        <w:rPr>
          <w:rFonts w:ascii="Times New Roman" w:eastAsia="Times New Roman" w:hAnsi="Times New Roman" w:cs="Times New Roman"/>
          <w:color w:val="000000"/>
          <w:sz w:val="24"/>
          <w:szCs w:val="24"/>
          <w:lang w:eastAsia="tr-TR"/>
        </w:rPr>
        <w:t xml:space="preserve"> edilmeden dahilen kullanıldıklarında </w:t>
      </w:r>
      <w:proofErr w:type="spellStart"/>
      <w:r w:rsidR="00F77E79" w:rsidRPr="00F77E79">
        <w:rPr>
          <w:rFonts w:ascii="Times New Roman" w:eastAsia="Times New Roman" w:hAnsi="Times New Roman" w:cs="Times New Roman"/>
          <w:color w:val="000000"/>
          <w:sz w:val="24"/>
          <w:szCs w:val="24"/>
          <w:lang w:eastAsia="tr-TR"/>
        </w:rPr>
        <w:t>lipofilik</w:t>
      </w:r>
      <w:proofErr w:type="spellEnd"/>
      <w:r w:rsidR="00F77E79" w:rsidRPr="00F77E79">
        <w:rPr>
          <w:rFonts w:ascii="Times New Roman" w:eastAsia="Times New Roman" w:hAnsi="Times New Roman" w:cs="Times New Roman"/>
          <w:color w:val="000000"/>
          <w:sz w:val="24"/>
          <w:szCs w:val="24"/>
          <w:lang w:eastAsia="tr-TR"/>
        </w:rPr>
        <w:t xml:space="preserve"> ve </w:t>
      </w:r>
      <w:proofErr w:type="spellStart"/>
      <w:r w:rsidR="00F77E79" w:rsidRPr="00F77E79">
        <w:rPr>
          <w:rFonts w:ascii="Times New Roman" w:eastAsia="Times New Roman" w:hAnsi="Times New Roman" w:cs="Times New Roman"/>
          <w:color w:val="000000"/>
          <w:sz w:val="24"/>
          <w:szCs w:val="24"/>
          <w:lang w:eastAsia="tr-TR"/>
        </w:rPr>
        <w:t>irritan</w:t>
      </w:r>
      <w:proofErr w:type="spellEnd"/>
      <w:r w:rsidR="00F77E79" w:rsidRPr="00F77E79">
        <w:rPr>
          <w:rFonts w:ascii="Times New Roman" w:eastAsia="Times New Roman" w:hAnsi="Times New Roman" w:cs="Times New Roman"/>
          <w:color w:val="000000"/>
          <w:sz w:val="24"/>
          <w:szCs w:val="24"/>
          <w:lang w:eastAsia="tr-TR"/>
        </w:rPr>
        <w:t xml:space="preserve"> kimyasal bileşenleri nedeniyle ağız ve </w:t>
      </w:r>
      <w:proofErr w:type="spellStart"/>
      <w:r w:rsidR="00F77E79" w:rsidRPr="00F77E79">
        <w:rPr>
          <w:rFonts w:ascii="Times New Roman" w:eastAsia="Times New Roman" w:hAnsi="Times New Roman" w:cs="Times New Roman"/>
          <w:color w:val="000000"/>
          <w:sz w:val="24"/>
          <w:szCs w:val="24"/>
          <w:lang w:eastAsia="tr-TR"/>
        </w:rPr>
        <w:t>gastrointestinal</w:t>
      </w:r>
      <w:proofErr w:type="spellEnd"/>
      <w:r w:rsidR="00F77E79" w:rsidRPr="00F77E79">
        <w:rPr>
          <w:rFonts w:ascii="Times New Roman" w:eastAsia="Times New Roman" w:hAnsi="Times New Roman" w:cs="Times New Roman"/>
          <w:color w:val="000000"/>
          <w:sz w:val="24"/>
          <w:szCs w:val="24"/>
          <w:lang w:eastAsia="tr-TR"/>
        </w:rPr>
        <w:t xml:space="preserve"> mukozada </w:t>
      </w:r>
      <w:proofErr w:type="spellStart"/>
      <w:r w:rsidR="00F77E79" w:rsidRPr="00F77E79">
        <w:rPr>
          <w:rFonts w:ascii="Times New Roman" w:eastAsia="Times New Roman" w:hAnsi="Times New Roman" w:cs="Times New Roman"/>
          <w:color w:val="000000"/>
          <w:sz w:val="24"/>
          <w:szCs w:val="24"/>
          <w:lang w:eastAsia="tr-TR"/>
        </w:rPr>
        <w:t>irritasyona</w:t>
      </w:r>
      <w:proofErr w:type="spellEnd"/>
      <w:r w:rsidR="00F77E79" w:rsidRPr="00F77E79">
        <w:rPr>
          <w:rFonts w:ascii="Times New Roman" w:eastAsia="Times New Roman" w:hAnsi="Times New Roman" w:cs="Times New Roman"/>
          <w:color w:val="000000"/>
          <w:sz w:val="24"/>
          <w:szCs w:val="24"/>
          <w:lang w:eastAsia="tr-TR"/>
        </w:rPr>
        <w:t xml:space="preserve"> neden olabilirler. Emilimleri çok hızlıdır (</w:t>
      </w:r>
      <w:proofErr w:type="spellStart"/>
      <w:r w:rsidR="00F77E79" w:rsidRPr="00F77E79">
        <w:rPr>
          <w:rFonts w:ascii="Times New Roman" w:eastAsia="Times New Roman" w:hAnsi="Times New Roman" w:cs="Times New Roman"/>
          <w:color w:val="000000"/>
          <w:sz w:val="24"/>
          <w:szCs w:val="24"/>
          <w:lang w:eastAsia="tr-TR"/>
        </w:rPr>
        <w:t>Tisserand</w:t>
      </w:r>
      <w:proofErr w:type="spellEnd"/>
      <w:r w:rsidR="00F77E79" w:rsidRPr="00F77E79">
        <w:rPr>
          <w:rFonts w:ascii="Times New Roman" w:eastAsia="Times New Roman" w:hAnsi="Times New Roman" w:cs="Times New Roman"/>
          <w:color w:val="000000"/>
          <w:sz w:val="24"/>
          <w:szCs w:val="24"/>
          <w:lang w:eastAsia="tr-TR"/>
        </w:rPr>
        <w:t xml:space="preserve">, 2013; </w:t>
      </w:r>
      <w:proofErr w:type="spellStart"/>
      <w:r w:rsidR="00F77E79" w:rsidRPr="00F77E79">
        <w:rPr>
          <w:rFonts w:ascii="Times New Roman" w:eastAsia="Times New Roman" w:hAnsi="Times New Roman" w:cs="Times New Roman"/>
          <w:color w:val="000000"/>
          <w:sz w:val="24"/>
          <w:szCs w:val="24"/>
          <w:lang w:eastAsia="tr-TR"/>
        </w:rPr>
        <w:t>Guba</w:t>
      </w:r>
      <w:proofErr w:type="spellEnd"/>
      <w:r w:rsidR="00F77E79" w:rsidRPr="00F77E79">
        <w:rPr>
          <w:rFonts w:ascii="Times New Roman" w:eastAsia="Times New Roman" w:hAnsi="Times New Roman" w:cs="Times New Roman"/>
          <w:color w:val="000000"/>
          <w:sz w:val="24"/>
          <w:szCs w:val="24"/>
          <w:lang w:eastAsia="tr-TR"/>
        </w:rPr>
        <w:t xml:space="preserve">, R., 2000). Bu yüzden, güvenli kabul edilen dozlarda ve sürede </w:t>
      </w:r>
      <w:r w:rsidR="00F77E79" w:rsidRPr="00207E89">
        <w:rPr>
          <w:rFonts w:ascii="Times New Roman" w:eastAsia="Times New Roman" w:hAnsi="Times New Roman" w:cs="Times New Roman"/>
          <w:color w:val="000000"/>
          <w:sz w:val="24"/>
          <w:szCs w:val="24"/>
          <w:lang w:eastAsia="tr-TR"/>
        </w:rPr>
        <w:t xml:space="preserve">doğru biçimde seyreltilmiş ve </w:t>
      </w:r>
      <w:proofErr w:type="spellStart"/>
      <w:r w:rsidR="00F77E79" w:rsidRPr="00207E89">
        <w:rPr>
          <w:rFonts w:ascii="Times New Roman" w:eastAsia="Times New Roman" w:hAnsi="Times New Roman" w:cs="Times New Roman"/>
          <w:color w:val="000000"/>
          <w:sz w:val="24"/>
          <w:szCs w:val="24"/>
          <w:lang w:eastAsia="tr-TR"/>
        </w:rPr>
        <w:t>enterik</w:t>
      </w:r>
      <w:proofErr w:type="spellEnd"/>
      <w:r w:rsidR="00F77E79" w:rsidRPr="00207E89">
        <w:rPr>
          <w:rFonts w:ascii="Times New Roman" w:eastAsia="Times New Roman" w:hAnsi="Times New Roman" w:cs="Times New Roman"/>
          <w:color w:val="000000"/>
          <w:sz w:val="24"/>
          <w:szCs w:val="24"/>
          <w:lang w:eastAsia="tr-TR"/>
        </w:rPr>
        <w:t xml:space="preserve"> kaplı</w:t>
      </w:r>
      <w:r w:rsidR="00F77E79" w:rsidRPr="00F77E79">
        <w:rPr>
          <w:rFonts w:ascii="Times New Roman" w:eastAsia="Times New Roman" w:hAnsi="Times New Roman" w:cs="Times New Roman"/>
          <w:color w:val="000000"/>
          <w:sz w:val="24"/>
          <w:szCs w:val="24"/>
          <w:lang w:eastAsia="tr-TR"/>
        </w:rPr>
        <w:t xml:space="preserve"> takviye edici gıda halinde kullanılması önerilir.</w:t>
      </w:r>
    </w:p>
    <w:p w14:paraId="242474FC" w14:textId="77777777" w:rsidR="00F77E79" w:rsidRPr="00A57DFA" w:rsidRDefault="00F77E79" w:rsidP="00A57DFA">
      <w:pPr>
        <w:spacing w:before="120" w:after="120" w:line="276" w:lineRule="auto"/>
        <w:ind w:left="1241" w:hanging="442"/>
        <w:jc w:val="both"/>
        <w:rPr>
          <w:rFonts w:ascii="Times New Roman" w:eastAsia="Times New Roman" w:hAnsi="Times New Roman" w:cs="Times New Roman"/>
          <w:i/>
          <w:sz w:val="24"/>
          <w:szCs w:val="24"/>
          <w:lang w:eastAsia="tr-TR"/>
        </w:rPr>
      </w:pPr>
      <w:r w:rsidRPr="00A57DFA">
        <w:rPr>
          <w:rFonts w:ascii="Times New Roman" w:eastAsia="Times New Roman" w:hAnsi="Times New Roman" w:cs="Times New Roman"/>
          <w:b/>
          <w:bCs/>
          <w:i/>
          <w:color w:val="000000"/>
          <w:sz w:val="24"/>
          <w:szCs w:val="24"/>
          <w:lang w:eastAsia="tr-TR"/>
        </w:rPr>
        <w:t>3.3.</w:t>
      </w:r>
      <w:r w:rsidRPr="00A57DFA">
        <w:rPr>
          <w:rFonts w:ascii="Times New Roman" w:eastAsia="Times New Roman" w:hAnsi="Times New Roman" w:cs="Times New Roman"/>
          <w:i/>
          <w:color w:val="000000"/>
          <w:sz w:val="24"/>
          <w:szCs w:val="24"/>
          <w:lang w:eastAsia="tr-TR"/>
        </w:rPr>
        <w:t xml:space="preserve">  </w:t>
      </w:r>
      <w:r w:rsidRPr="00A57DFA">
        <w:rPr>
          <w:rFonts w:ascii="Times New Roman" w:eastAsia="Times New Roman" w:hAnsi="Times New Roman" w:cs="Times New Roman"/>
          <w:i/>
          <w:color w:val="000000"/>
          <w:sz w:val="14"/>
          <w:szCs w:val="14"/>
          <w:lang w:eastAsia="tr-TR"/>
        </w:rPr>
        <w:t> </w:t>
      </w:r>
      <w:r w:rsidRPr="00A57DFA">
        <w:rPr>
          <w:rFonts w:ascii="Times New Roman" w:eastAsia="Times New Roman" w:hAnsi="Times New Roman" w:cs="Times New Roman"/>
          <w:b/>
          <w:bCs/>
          <w:i/>
          <w:color w:val="000000"/>
          <w:sz w:val="24"/>
          <w:szCs w:val="24"/>
          <w:lang w:eastAsia="tr-TR"/>
        </w:rPr>
        <w:t>Günlük önerilen maksimum tüketim miktarı ve kullanım sıklığı</w:t>
      </w:r>
    </w:p>
    <w:p w14:paraId="53696328" w14:textId="4AC02E43" w:rsidR="00F77E79" w:rsidRPr="00F77E79" w:rsidRDefault="00F77E79" w:rsidP="009C516A">
      <w:pPr>
        <w:spacing w:before="240" w:after="240" w:line="276" w:lineRule="auto"/>
        <w:ind w:firstLine="36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Bu yağın kronik kullanımı ile ilgili bir veri yoktur. Ancak bu yağın ana bileşeni olan </w:t>
      </w:r>
      <w:proofErr w:type="spellStart"/>
      <w:r w:rsidRPr="00F77E79">
        <w:rPr>
          <w:rFonts w:ascii="Times New Roman" w:eastAsia="Times New Roman" w:hAnsi="Times New Roman" w:cs="Times New Roman"/>
          <w:color w:val="000000"/>
          <w:sz w:val="24"/>
          <w:szCs w:val="24"/>
          <w:lang w:eastAsia="tr-TR"/>
        </w:rPr>
        <w:t>geraniol</w:t>
      </w:r>
      <w:proofErr w:type="spellEnd"/>
      <w:r w:rsidRPr="00F77E79">
        <w:rPr>
          <w:rFonts w:ascii="Times New Roman" w:eastAsia="Times New Roman" w:hAnsi="Times New Roman" w:cs="Times New Roman"/>
          <w:color w:val="000000"/>
          <w:sz w:val="24"/>
          <w:szCs w:val="24"/>
          <w:lang w:eastAsia="tr-TR"/>
        </w:rPr>
        <w:t xml:space="preserve"> ile yapılan çalışmalarda günlük </w:t>
      </w:r>
      <w:proofErr w:type="spellStart"/>
      <w:r w:rsidRPr="00F77E79">
        <w:rPr>
          <w:rFonts w:ascii="Times New Roman" w:eastAsia="Times New Roman" w:hAnsi="Times New Roman" w:cs="Times New Roman"/>
          <w:color w:val="000000"/>
          <w:sz w:val="24"/>
          <w:szCs w:val="24"/>
          <w:lang w:eastAsia="tr-TR"/>
        </w:rPr>
        <w:t>geraniol</w:t>
      </w:r>
      <w:proofErr w:type="spellEnd"/>
      <w:r w:rsidRPr="00F77E79">
        <w:rPr>
          <w:rFonts w:ascii="Times New Roman" w:eastAsia="Times New Roman" w:hAnsi="Times New Roman" w:cs="Times New Roman"/>
          <w:color w:val="000000"/>
          <w:sz w:val="24"/>
          <w:szCs w:val="24"/>
          <w:lang w:eastAsia="tr-TR"/>
        </w:rPr>
        <w:t xml:space="preserve"> alım miktarı 35 mg’ı geçemez (</w:t>
      </w:r>
      <w:r w:rsidR="00CC575F">
        <w:rPr>
          <w:rFonts w:ascii="Times New Roman" w:eastAsia="Times New Roman" w:hAnsi="Times New Roman" w:cs="Times New Roman"/>
          <w:color w:val="000000"/>
          <w:sz w:val="24"/>
          <w:szCs w:val="24"/>
          <w:lang w:eastAsia="tr-TR"/>
        </w:rPr>
        <w:t>EFSA</w:t>
      </w:r>
      <w:r w:rsidR="00EF3572">
        <w:rPr>
          <w:rFonts w:ascii="Times New Roman" w:eastAsia="Times New Roman" w:hAnsi="Times New Roman" w:cs="Times New Roman"/>
          <w:color w:val="000000"/>
          <w:sz w:val="24"/>
          <w:szCs w:val="24"/>
          <w:lang w:eastAsia="tr-TR"/>
        </w:rPr>
        <w:t>,</w:t>
      </w:r>
      <w:r w:rsidR="000026ED">
        <w:rPr>
          <w:rFonts w:ascii="Times New Roman" w:eastAsia="Times New Roman" w:hAnsi="Times New Roman" w:cs="Times New Roman"/>
          <w:color w:val="000000"/>
          <w:sz w:val="24"/>
          <w:szCs w:val="24"/>
          <w:lang w:eastAsia="tr-TR"/>
        </w:rPr>
        <w:t xml:space="preserve"> </w:t>
      </w:r>
      <w:r w:rsidR="00EF3572">
        <w:rPr>
          <w:rFonts w:ascii="Times New Roman" w:eastAsia="Times New Roman" w:hAnsi="Times New Roman" w:cs="Times New Roman"/>
          <w:color w:val="000000"/>
          <w:sz w:val="24"/>
          <w:szCs w:val="24"/>
          <w:lang w:eastAsia="tr-TR"/>
        </w:rPr>
        <w:t>2016</w:t>
      </w:r>
      <w:r w:rsidRPr="00F77E79">
        <w:rPr>
          <w:rFonts w:ascii="Times New Roman" w:eastAsia="Times New Roman" w:hAnsi="Times New Roman" w:cs="Times New Roman"/>
          <w:color w:val="000000"/>
          <w:sz w:val="24"/>
          <w:szCs w:val="24"/>
          <w:lang w:eastAsia="tr-TR"/>
        </w:rPr>
        <w:t>)</w:t>
      </w:r>
      <w:r w:rsidR="00CF4BF6">
        <w:rPr>
          <w:rFonts w:ascii="Times New Roman" w:eastAsia="Times New Roman" w:hAnsi="Times New Roman" w:cs="Times New Roman"/>
          <w:color w:val="000000"/>
          <w:sz w:val="24"/>
          <w:szCs w:val="24"/>
          <w:lang w:eastAsia="tr-TR"/>
        </w:rPr>
        <w:t>.</w:t>
      </w:r>
    </w:p>
    <w:p w14:paraId="2B96A53A" w14:textId="7C1890AE" w:rsidR="006C235B" w:rsidRDefault="006C235B" w:rsidP="009C516A">
      <w:pPr>
        <w:spacing w:after="0" w:line="276" w:lineRule="auto"/>
        <w:rPr>
          <w:rFonts w:ascii="Times New Roman" w:eastAsia="Times New Roman" w:hAnsi="Times New Roman" w:cs="Times New Roman"/>
          <w:sz w:val="24"/>
          <w:szCs w:val="24"/>
          <w:lang w:eastAsia="tr-TR"/>
        </w:rPr>
      </w:pPr>
    </w:p>
    <w:p w14:paraId="4C6A4ED4" w14:textId="6AD6D2F4" w:rsidR="00F77E79" w:rsidRPr="006C235B" w:rsidRDefault="00FC6DFA" w:rsidP="00FC6DFA">
      <w:pPr>
        <w:spacing w:before="120" w:after="240" w:line="276" w:lineRule="auto"/>
        <w:ind w:firstLine="360"/>
        <w:jc w:val="both"/>
        <w:textAlignment w:val="baseline"/>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lastRenderedPageBreak/>
        <w:t>4.</w:t>
      </w:r>
      <w:r>
        <w:rPr>
          <w:rFonts w:ascii="Times New Roman" w:eastAsia="Times New Roman" w:hAnsi="Times New Roman" w:cs="Times New Roman"/>
          <w:b/>
          <w:bCs/>
          <w:color w:val="000000"/>
          <w:sz w:val="24"/>
          <w:szCs w:val="24"/>
          <w:lang w:eastAsia="tr-TR"/>
        </w:rPr>
        <w:tab/>
      </w:r>
      <w:r w:rsidR="00F77E79" w:rsidRPr="00F77E79">
        <w:rPr>
          <w:rFonts w:ascii="Times New Roman" w:eastAsia="Times New Roman" w:hAnsi="Times New Roman" w:cs="Times New Roman"/>
          <w:b/>
          <w:bCs/>
          <w:color w:val="000000"/>
          <w:sz w:val="24"/>
          <w:szCs w:val="24"/>
          <w:lang w:eastAsia="tr-TR"/>
        </w:rPr>
        <w:t>Bitkinin Kullanım Geçmişi</w:t>
      </w:r>
    </w:p>
    <w:p w14:paraId="4E827A70" w14:textId="2F32D6E1" w:rsidR="00F77E79" w:rsidRPr="00FC6DFA" w:rsidRDefault="00F77E79" w:rsidP="00FC6DFA">
      <w:pPr>
        <w:spacing w:before="120" w:after="120" w:line="276" w:lineRule="auto"/>
        <w:ind w:left="1241" w:hanging="442"/>
        <w:jc w:val="both"/>
        <w:rPr>
          <w:rFonts w:ascii="Times New Roman" w:eastAsia="Times New Roman" w:hAnsi="Times New Roman" w:cs="Times New Roman"/>
          <w:i/>
          <w:sz w:val="24"/>
          <w:szCs w:val="24"/>
          <w:lang w:eastAsia="tr-TR"/>
        </w:rPr>
      </w:pPr>
      <w:r w:rsidRPr="00FC6DFA">
        <w:rPr>
          <w:rFonts w:ascii="Times New Roman" w:eastAsia="Times New Roman" w:hAnsi="Times New Roman" w:cs="Times New Roman"/>
          <w:b/>
          <w:bCs/>
          <w:i/>
          <w:color w:val="000000"/>
          <w:sz w:val="24"/>
          <w:szCs w:val="24"/>
          <w:lang w:eastAsia="tr-TR"/>
        </w:rPr>
        <w:t>4.1.</w:t>
      </w:r>
      <w:r w:rsidRPr="00FC6DFA">
        <w:rPr>
          <w:rFonts w:ascii="Times New Roman" w:eastAsia="Times New Roman" w:hAnsi="Times New Roman" w:cs="Times New Roman"/>
          <w:i/>
          <w:color w:val="000000"/>
          <w:sz w:val="24"/>
          <w:szCs w:val="24"/>
          <w:lang w:eastAsia="tr-TR"/>
        </w:rPr>
        <w:t xml:space="preserve">   </w:t>
      </w:r>
      <w:r w:rsidRPr="00FC6DFA">
        <w:rPr>
          <w:rFonts w:ascii="Times New Roman" w:eastAsia="Times New Roman" w:hAnsi="Times New Roman" w:cs="Times New Roman"/>
          <w:b/>
          <w:bCs/>
          <w:i/>
          <w:color w:val="000000"/>
          <w:sz w:val="24"/>
          <w:szCs w:val="24"/>
          <w:lang w:eastAsia="tr-TR"/>
        </w:rPr>
        <w:t>Gıda olarak kullanımı</w:t>
      </w:r>
    </w:p>
    <w:p w14:paraId="7EA003BC" w14:textId="69E4B7FD" w:rsidR="00F77E79" w:rsidRPr="00F77E79" w:rsidRDefault="00F77E79" w:rsidP="009C516A">
      <w:pPr>
        <w:spacing w:before="120" w:after="120" w:line="276" w:lineRule="auto"/>
        <w:ind w:firstLine="720"/>
        <w:jc w:val="both"/>
        <w:rPr>
          <w:rFonts w:ascii="Times New Roman" w:eastAsia="Times New Roman" w:hAnsi="Times New Roman" w:cs="Times New Roman"/>
          <w:sz w:val="24"/>
          <w:szCs w:val="24"/>
          <w:lang w:eastAsia="tr-TR"/>
        </w:rPr>
      </w:pPr>
      <w:proofErr w:type="spellStart"/>
      <w:r w:rsidRPr="00F77E79">
        <w:rPr>
          <w:rFonts w:ascii="Times New Roman" w:eastAsia="Times New Roman" w:hAnsi="Times New Roman" w:cs="Times New Roman"/>
          <w:i/>
          <w:iCs/>
          <w:color w:val="000000"/>
          <w:sz w:val="24"/>
          <w:szCs w:val="24"/>
          <w:lang w:eastAsia="tr-TR"/>
        </w:rPr>
        <w:t>Cymbopogon</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Spreng</w:t>
      </w:r>
      <w:proofErr w:type="spellEnd"/>
      <w:r w:rsidRPr="00F77E79">
        <w:rPr>
          <w:rFonts w:ascii="Times New Roman" w:eastAsia="Times New Roman" w:hAnsi="Times New Roman" w:cs="Times New Roman"/>
          <w:color w:val="000000"/>
          <w:sz w:val="24"/>
          <w:szCs w:val="24"/>
          <w:lang w:eastAsia="tr-TR"/>
        </w:rPr>
        <w:t xml:space="preserve">. </w:t>
      </w:r>
      <w:proofErr w:type="gramStart"/>
      <w:r w:rsidRPr="00F77E79">
        <w:rPr>
          <w:rFonts w:ascii="Times New Roman" w:eastAsia="Times New Roman" w:hAnsi="Times New Roman" w:cs="Times New Roman"/>
          <w:color w:val="000000"/>
          <w:sz w:val="24"/>
          <w:szCs w:val="24"/>
          <w:lang w:eastAsia="tr-TR"/>
        </w:rPr>
        <w:t>cinsi</w:t>
      </w:r>
      <w:proofErr w:type="gramEnd"/>
      <w:r w:rsidRPr="00F77E79">
        <w:rPr>
          <w:rFonts w:ascii="Times New Roman" w:eastAsia="Times New Roman" w:hAnsi="Times New Roman" w:cs="Times New Roman"/>
          <w:color w:val="000000"/>
          <w:sz w:val="24"/>
          <w:szCs w:val="24"/>
          <w:lang w:eastAsia="tr-TR"/>
        </w:rPr>
        <w:t xml:space="preserve">, dünya çapında tropikal ve </w:t>
      </w:r>
      <w:proofErr w:type="spellStart"/>
      <w:r w:rsidRPr="00F77E79">
        <w:rPr>
          <w:rFonts w:ascii="Times New Roman" w:eastAsia="Times New Roman" w:hAnsi="Times New Roman" w:cs="Times New Roman"/>
          <w:color w:val="000000"/>
          <w:sz w:val="24"/>
          <w:szCs w:val="24"/>
          <w:lang w:eastAsia="tr-TR"/>
        </w:rPr>
        <w:t>subtropikal</w:t>
      </w:r>
      <w:proofErr w:type="spellEnd"/>
      <w:r w:rsidRPr="00F77E79">
        <w:rPr>
          <w:rFonts w:ascii="Times New Roman" w:eastAsia="Times New Roman" w:hAnsi="Times New Roman" w:cs="Times New Roman"/>
          <w:color w:val="000000"/>
          <w:sz w:val="24"/>
          <w:szCs w:val="24"/>
          <w:lang w:eastAsia="tr-TR"/>
        </w:rPr>
        <w:t xml:space="preserve"> bölgelerde 140'tan fazla türe sahiptir. Bunlardan 45’i Hindistan’da doğal olarak yetişmektedir. Bitkinin gıda olarak kullanımına ait herhangi bir kaynağa rastlanmam</w:t>
      </w:r>
      <w:r w:rsidR="00AB4FC5">
        <w:rPr>
          <w:rFonts w:ascii="Times New Roman" w:eastAsia="Times New Roman" w:hAnsi="Times New Roman" w:cs="Times New Roman"/>
          <w:color w:val="000000"/>
          <w:sz w:val="24"/>
          <w:szCs w:val="24"/>
          <w:lang w:eastAsia="tr-TR"/>
        </w:rPr>
        <w:t>ış olmakla birlikte, gıda sanay</w:t>
      </w:r>
      <w:r w:rsidRPr="00F77E79">
        <w:rPr>
          <w:rFonts w:ascii="Times New Roman" w:eastAsia="Times New Roman" w:hAnsi="Times New Roman" w:cs="Times New Roman"/>
          <w:color w:val="000000"/>
          <w:sz w:val="24"/>
          <w:szCs w:val="24"/>
          <w:lang w:eastAsia="tr-TR"/>
        </w:rPr>
        <w:t xml:space="preserve">i için genellikle yaprak, çiçek durumu ve/veya toprak üstü kısımlarından buhar </w:t>
      </w:r>
      <w:proofErr w:type="spellStart"/>
      <w:r w:rsidRPr="00F77E79">
        <w:rPr>
          <w:rFonts w:ascii="Times New Roman" w:eastAsia="Times New Roman" w:hAnsi="Times New Roman" w:cs="Times New Roman"/>
          <w:color w:val="000000"/>
          <w:sz w:val="24"/>
          <w:szCs w:val="24"/>
          <w:lang w:eastAsia="tr-TR"/>
        </w:rPr>
        <w:t>distilasyonu</w:t>
      </w:r>
      <w:proofErr w:type="spellEnd"/>
      <w:r w:rsidRPr="00F77E79">
        <w:rPr>
          <w:rFonts w:ascii="Times New Roman" w:eastAsia="Times New Roman" w:hAnsi="Times New Roman" w:cs="Times New Roman"/>
          <w:color w:val="000000"/>
          <w:sz w:val="24"/>
          <w:szCs w:val="24"/>
          <w:lang w:eastAsia="tr-TR"/>
        </w:rPr>
        <w:t xml:space="preserve"> ile elde edilen uçucu yağı ilgili otoritelerce GRAS (Genel Olarak Güvenli Kabul Edilen) olarak sınıflandırılmış </w:t>
      </w:r>
      <w:r w:rsidR="000026ED">
        <w:rPr>
          <w:rFonts w:ascii="Times New Roman" w:eastAsia="Times New Roman" w:hAnsi="Times New Roman" w:cs="Times New Roman"/>
          <w:color w:val="000000"/>
          <w:sz w:val="24"/>
          <w:szCs w:val="24"/>
          <w:lang w:eastAsia="tr-TR"/>
        </w:rPr>
        <w:t>olup</w:t>
      </w:r>
      <w:r w:rsidRPr="00F77E79">
        <w:rPr>
          <w:rFonts w:ascii="Times New Roman" w:eastAsia="Times New Roman" w:hAnsi="Times New Roman" w:cs="Times New Roman"/>
          <w:color w:val="000000"/>
          <w:sz w:val="24"/>
          <w:szCs w:val="24"/>
          <w:lang w:eastAsia="tr-TR"/>
        </w:rPr>
        <w:t xml:space="preserve"> gıdalarda aroma verici ve</w:t>
      </w:r>
      <w:r w:rsidR="000026ED">
        <w:rPr>
          <w:rFonts w:ascii="Times New Roman" w:eastAsia="Times New Roman" w:hAnsi="Times New Roman" w:cs="Times New Roman"/>
          <w:color w:val="000000"/>
          <w:sz w:val="24"/>
          <w:szCs w:val="24"/>
          <w:lang w:eastAsia="tr-TR"/>
        </w:rPr>
        <w:t>/veya</w:t>
      </w:r>
      <w:r w:rsidRPr="00F77E79">
        <w:rPr>
          <w:rFonts w:ascii="Times New Roman" w:eastAsia="Times New Roman" w:hAnsi="Times New Roman" w:cs="Times New Roman"/>
          <w:color w:val="000000"/>
          <w:sz w:val="24"/>
          <w:szCs w:val="24"/>
          <w:lang w:eastAsia="tr-TR"/>
        </w:rPr>
        <w:t xml:space="preserve"> koruyucu olarak (FEMA 2831) kullanılmaktadır (Sen, 2023). </w:t>
      </w:r>
    </w:p>
    <w:p w14:paraId="5BBC3676" w14:textId="77777777" w:rsidR="00F77E79" w:rsidRPr="00FC6DFA" w:rsidRDefault="00F77E79" w:rsidP="00FC6DFA">
      <w:pPr>
        <w:spacing w:before="240" w:after="120" w:line="276" w:lineRule="auto"/>
        <w:ind w:left="1241" w:hanging="442"/>
        <w:jc w:val="both"/>
        <w:rPr>
          <w:rFonts w:ascii="Times New Roman" w:eastAsia="Times New Roman" w:hAnsi="Times New Roman" w:cs="Times New Roman"/>
          <w:i/>
          <w:sz w:val="24"/>
          <w:szCs w:val="24"/>
          <w:lang w:eastAsia="tr-TR"/>
        </w:rPr>
      </w:pPr>
      <w:r w:rsidRPr="00FC6DFA">
        <w:rPr>
          <w:rFonts w:ascii="Times New Roman" w:eastAsia="Times New Roman" w:hAnsi="Times New Roman" w:cs="Times New Roman"/>
          <w:b/>
          <w:bCs/>
          <w:i/>
          <w:color w:val="000000"/>
          <w:sz w:val="24"/>
          <w:szCs w:val="24"/>
          <w:lang w:eastAsia="tr-TR"/>
        </w:rPr>
        <w:t>4.2.</w:t>
      </w:r>
      <w:r w:rsidRPr="00FC6DFA">
        <w:rPr>
          <w:rFonts w:ascii="Times New Roman" w:eastAsia="Times New Roman" w:hAnsi="Times New Roman" w:cs="Times New Roman"/>
          <w:i/>
          <w:color w:val="000000"/>
          <w:sz w:val="24"/>
          <w:szCs w:val="24"/>
          <w:lang w:eastAsia="tr-TR"/>
        </w:rPr>
        <w:t xml:space="preserve">   </w:t>
      </w:r>
      <w:r w:rsidRPr="00FC6DFA">
        <w:rPr>
          <w:rFonts w:ascii="Times New Roman" w:eastAsia="Times New Roman" w:hAnsi="Times New Roman" w:cs="Times New Roman"/>
          <w:b/>
          <w:bCs/>
          <w:i/>
          <w:color w:val="000000"/>
          <w:sz w:val="24"/>
          <w:szCs w:val="24"/>
          <w:lang w:eastAsia="tr-TR"/>
        </w:rPr>
        <w:t>Halk ilacı olarak/Tıbbi kullanımı</w:t>
      </w:r>
    </w:p>
    <w:p w14:paraId="5E822DBF" w14:textId="36E9767E" w:rsidR="00F77E79" w:rsidRPr="00F77E79" w:rsidRDefault="00F77E79" w:rsidP="009C516A">
      <w:pPr>
        <w:spacing w:before="120" w:after="120" w:line="276" w:lineRule="auto"/>
        <w:ind w:firstLine="72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Uçucu yağı taranan </w:t>
      </w:r>
      <w:proofErr w:type="spellStart"/>
      <w:r w:rsidRPr="00F77E79">
        <w:rPr>
          <w:rFonts w:ascii="Times New Roman" w:eastAsia="Times New Roman" w:hAnsi="Times New Roman" w:cs="Times New Roman"/>
          <w:color w:val="000000"/>
          <w:sz w:val="24"/>
          <w:szCs w:val="24"/>
          <w:lang w:eastAsia="tr-TR"/>
        </w:rPr>
        <w:t>etnofarmakognozik</w:t>
      </w:r>
      <w:proofErr w:type="spellEnd"/>
      <w:r w:rsidRPr="00F77E79">
        <w:rPr>
          <w:rFonts w:ascii="Times New Roman" w:eastAsia="Times New Roman" w:hAnsi="Times New Roman" w:cs="Times New Roman"/>
          <w:color w:val="000000"/>
          <w:sz w:val="24"/>
          <w:szCs w:val="24"/>
          <w:lang w:eastAsia="tr-TR"/>
        </w:rPr>
        <w:t xml:space="preserve"> ve </w:t>
      </w:r>
      <w:proofErr w:type="spellStart"/>
      <w:r w:rsidRPr="00F77E79">
        <w:rPr>
          <w:rFonts w:ascii="Times New Roman" w:eastAsia="Times New Roman" w:hAnsi="Times New Roman" w:cs="Times New Roman"/>
          <w:color w:val="000000"/>
          <w:sz w:val="24"/>
          <w:szCs w:val="24"/>
          <w:lang w:eastAsia="tr-TR"/>
        </w:rPr>
        <w:t>etnobotanik</w:t>
      </w:r>
      <w:proofErr w:type="spellEnd"/>
      <w:r w:rsidRPr="00F77E79">
        <w:rPr>
          <w:rFonts w:ascii="Times New Roman" w:eastAsia="Times New Roman" w:hAnsi="Times New Roman" w:cs="Times New Roman"/>
          <w:color w:val="000000"/>
          <w:sz w:val="24"/>
          <w:szCs w:val="24"/>
          <w:lang w:eastAsia="tr-TR"/>
        </w:rPr>
        <w:t xml:space="preserve"> çalışmalara göre Hindistan’da halk arasında sınırlı kullanıma sahip</w:t>
      </w:r>
      <w:r w:rsidR="000026ED">
        <w:rPr>
          <w:rFonts w:ascii="Times New Roman" w:eastAsia="Times New Roman" w:hAnsi="Times New Roman" w:cs="Times New Roman"/>
          <w:color w:val="000000"/>
          <w:sz w:val="24"/>
          <w:szCs w:val="24"/>
          <w:lang w:eastAsia="tr-TR"/>
        </w:rPr>
        <w:t>tir</w:t>
      </w:r>
      <w:r w:rsidRPr="00F77E79">
        <w:rPr>
          <w:rFonts w:ascii="Times New Roman" w:eastAsia="Times New Roman" w:hAnsi="Times New Roman" w:cs="Times New Roman"/>
          <w:color w:val="000000"/>
          <w:sz w:val="24"/>
          <w:szCs w:val="24"/>
          <w:lang w:eastAsia="tr-TR"/>
        </w:rPr>
        <w:t>. Türün “</w:t>
      </w:r>
      <w:proofErr w:type="spellStart"/>
      <w:r w:rsidRPr="00F77E79">
        <w:rPr>
          <w:rFonts w:ascii="Times New Roman" w:eastAsia="Times New Roman" w:hAnsi="Times New Roman" w:cs="Times New Roman"/>
          <w:i/>
          <w:iCs/>
          <w:color w:val="000000"/>
          <w:sz w:val="24"/>
          <w:szCs w:val="24"/>
          <w:lang w:eastAsia="tr-TR"/>
        </w:rPr>
        <w:t>sofia</w:t>
      </w:r>
      <w:proofErr w:type="spellEnd"/>
      <w:r w:rsidRPr="00F77E79">
        <w:rPr>
          <w:rFonts w:ascii="Times New Roman" w:eastAsia="Times New Roman" w:hAnsi="Times New Roman" w:cs="Times New Roman"/>
          <w:color w:val="000000"/>
          <w:sz w:val="24"/>
          <w:szCs w:val="24"/>
          <w:lang w:eastAsia="tr-TR"/>
        </w:rPr>
        <w:t>” varyetesine ait uçucu yağ sinek kovucu, “</w:t>
      </w:r>
      <w:proofErr w:type="spellStart"/>
      <w:r w:rsidRPr="00F77E79">
        <w:rPr>
          <w:rFonts w:ascii="Times New Roman" w:eastAsia="Times New Roman" w:hAnsi="Times New Roman" w:cs="Times New Roman"/>
          <w:i/>
          <w:iCs/>
          <w:color w:val="000000"/>
          <w:sz w:val="24"/>
          <w:szCs w:val="24"/>
          <w:lang w:eastAsia="tr-TR"/>
        </w:rPr>
        <w:t>motia</w:t>
      </w:r>
      <w:proofErr w:type="spellEnd"/>
      <w:r w:rsidRPr="00F77E79">
        <w:rPr>
          <w:rFonts w:ascii="Times New Roman" w:eastAsia="Times New Roman" w:hAnsi="Times New Roman" w:cs="Times New Roman"/>
          <w:color w:val="000000"/>
          <w:sz w:val="24"/>
          <w:szCs w:val="24"/>
          <w:lang w:eastAsia="tr-TR"/>
        </w:rPr>
        <w:t xml:space="preserve">” varyetesinden elde edilen uçucu yağ ise </w:t>
      </w:r>
      <w:proofErr w:type="spellStart"/>
      <w:r w:rsidRPr="00F77E79">
        <w:rPr>
          <w:rFonts w:ascii="Times New Roman" w:eastAsia="Times New Roman" w:hAnsi="Times New Roman" w:cs="Times New Roman"/>
          <w:color w:val="000000"/>
          <w:sz w:val="24"/>
          <w:szCs w:val="24"/>
          <w:lang w:eastAsia="tr-TR"/>
        </w:rPr>
        <w:t>topikal</w:t>
      </w:r>
      <w:proofErr w:type="spellEnd"/>
      <w:r w:rsidRPr="00F77E79">
        <w:rPr>
          <w:rFonts w:ascii="Times New Roman" w:eastAsia="Times New Roman" w:hAnsi="Times New Roman" w:cs="Times New Roman"/>
          <w:color w:val="000000"/>
          <w:sz w:val="24"/>
          <w:szCs w:val="24"/>
          <w:lang w:eastAsia="tr-TR"/>
        </w:rPr>
        <w:t xml:space="preserve"> olarak saç derisine uygulamak suretiyle saç uzamasına yardımcı olarak kullanılmıştır (</w:t>
      </w:r>
      <w:proofErr w:type="spellStart"/>
      <w:r w:rsidRPr="00F77E79">
        <w:rPr>
          <w:rFonts w:ascii="Times New Roman" w:eastAsia="Times New Roman" w:hAnsi="Times New Roman" w:cs="Times New Roman"/>
          <w:color w:val="000000"/>
          <w:sz w:val="24"/>
          <w:szCs w:val="24"/>
          <w:lang w:eastAsia="tr-TR"/>
        </w:rPr>
        <w:t>Karami</w:t>
      </w:r>
      <w:proofErr w:type="spellEnd"/>
      <w:r w:rsidRPr="00F77E79">
        <w:rPr>
          <w:rFonts w:ascii="Times New Roman" w:eastAsia="Times New Roman" w:hAnsi="Times New Roman" w:cs="Times New Roman"/>
          <w:color w:val="000000"/>
          <w:sz w:val="24"/>
          <w:szCs w:val="24"/>
          <w:lang w:eastAsia="tr-TR"/>
        </w:rPr>
        <w:t xml:space="preserve"> 2021). </w:t>
      </w:r>
      <w:proofErr w:type="spellStart"/>
      <w:r w:rsidRPr="00F77E79">
        <w:rPr>
          <w:rFonts w:ascii="Times New Roman" w:eastAsia="Times New Roman" w:hAnsi="Times New Roman" w:cs="Times New Roman"/>
          <w:color w:val="000000"/>
          <w:sz w:val="24"/>
          <w:szCs w:val="24"/>
          <w:lang w:eastAsia="tr-TR"/>
        </w:rPr>
        <w:t>Palmaro</w:t>
      </w:r>
      <w:r w:rsidR="00F4407E">
        <w:rPr>
          <w:rFonts w:ascii="Times New Roman" w:eastAsia="Times New Roman" w:hAnsi="Times New Roman" w:cs="Times New Roman"/>
          <w:color w:val="000000"/>
          <w:sz w:val="24"/>
          <w:szCs w:val="24"/>
          <w:lang w:eastAsia="tr-TR"/>
        </w:rPr>
        <w:t>z</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yağı </w:t>
      </w:r>
      <w:proofErr w:type="spellStart"/>
      <w:r w:rsidRPr="00F77E79">
        <w:rPr>
          <w:rFonts w:ascii="Times New Roman" w:eastAsia="Times New Roman" w:hAnsi="Times New Roman" w:cs="Times New Roman"/>
          <w:color w:val="000000"/>
          <w:sz w:val="24"/>
          <w:szCs w:val="24"/>
          <w:lang w:eastAsia="tr-TR"/>
        </w:rPr>
        <w:t>antibakteriyel</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antiviral</w:t>
      </w:r>
      <w:proofErr w:type="spellEnd"/>
      <w:r w:rsidRPr="00F77E79">
        <w:rPr>
          <w:rFonts w:ascii="Times New Roman" w:eastAsia="Times New Roman" w:hAnsi="Times New Roman" w:cs="Times New Roman"/>
          <w:color w:val="000000"/>
          <w:sz w:val="24"/>
          <w:szCs w:val="24"/>
          <w:lang w:eastAsia="tr-TR"/>
        </w:rPr>
        <w:t xml:space="preserve"> özellikleri ve hafif </w:t>
      </w:r>
      <w:proofErr w:type="spellStart"/>
      <w:r w:rsidRPr="00F77E79">
        <w:rPr>
          <w:rFonts w:ascii="Times New Roman" w:eastAsia="Times New Roman" w:hAnsi="Times New Roman" w:cs="Times New Roman"/>
          <w:color w:val="000000"/>
          <w:sz w:val="24"/>
          <w:szCs w:val="24"/>
          <w:lang w:eastAsia="tr-TR"/>
        </w:rPr>
        <w:t>antienflamatuvar</w:t>
      </w:r>
      <w:proofErr w:type="spellEnd"/>
      <w:r w:rsidRPr="00F77E79">
        <w:rPr>
          <w:rFonts w:ascii="Times New Roman" w:eastAsia="Times New Roman" w:hAnsi="Times New Roman" w:cs="Times New Roman"/>
          <w:color w:val="000000"/>
          <w:sz w:val="24"/>
          <w:szCs w:val="24"/>
          <w:lang w:eastAsia="tr-TR"/>
        </w:rPr>
        <w:t xml:space="preserve"> niteliği nedeniyle aromaterapide cilt toniği olarak yaygın bir şekilde kullanılmaktadır. Ayrıca </w:t>
      </w:r>
      <w:proofErr w:type="spellStart"/>
      <w:r w:rsidRPr="00F77E79">
        <w:rPr>
          <w:rFonts w:ascii="Times New Roman" w:eastAsia="Times New Roman" w:hAnsi="Times New Roman" w:cs="Times New Roman"/>
          <w:color w:val="000000"/>
          <w:sz w:val="24"/>
          <w:szCs w:val="24"/>
          <w:lang w:eastAsia="tr-TR"/>
        </w:rPr>
        <w:t>Ayurvedik</w:t>
      </w:r>
      <w:proofErr w:type="spellEnd"/>
      <w:r w:rsidRPr="00F77E79">
        <w:rPr>
          <w:rFonts w:ascii="Times New Roman" w:eastAsia="Times New Roman" w:hAnsi="Times New Roman" w:cs="Times New Roman"/>
          <w:color w:val="000000"/>
          <w:sz w:val="24"/>
          <w:szCs w:val="24"/>
          <w:lang w:eastAsia="tr-TR"/>
        </w:rPr>
        <w:t xml:space="preserve"> tıpta cilt sorunları ve sinir ağrılarını hafifletmek amacıyla da kullanılmıştır (</w:t>
      </w:r>
      <w:proofErr w:type="spellStart"/>
      <w:r w:rsidRPr="00F77E79">
        <w:rPr>
          <w:rFonts w:ascii="Times New Roman" w:eastAsia="Times New Roman" w:hAnsi="Times New Roman" w:cs="Times New Roman"/>
          <w:color w:val="000000"/>
          <w:sz w:val="24"/>
          <w:szCs w:val="24"/>
          <w:lang w:eastAsia="tr-TR"/>
        </w:rPr>
        <w:t>Murbach</w:t>
      </w:r>
      <w:proofErr w:type="spellEnd"/>
      <w:r w:rsidRPr="00F77E79">
        <w:rPr>
          <w:rFonts w:ascii="Times New Roman" w:eastAsia="Times New Roman" w:hAnsi="Times New Roman" w:cs="Times New Roman"/>
          <w:color w:val="000000"/>
          <w:sz w:val="24"/>
          <w:szCs w:val="24"/>
          <w:lang w:eastAsia="tr-TR"/>
        </w:rPr>
        <w:t xml:space="preserve"> Teles </w:t>
      </w:r>
      <w:proofErr w:type="spellStart"/>
      <w:r w:rsidRPr="00F77E79">
        <w:rPr>
          <w:rFonts w:ascii="Times New Roman" w:eastAsia="Times New Roman" w:hAnsi="Times New Roman" w:cs="Times New Roman"/>
          <w:color w:val="000000"/>
          <w:sz w:val="24"/>
          <w:szCs w:val="24"/>
          <w:lang w:eastAsia="tr-TR"/>
        </w:rPr>
        <w:t>Andrade</w:t>
      </w:r>
      <w:proofErr w:type="spellEnd"/>
      <w:r w:rsidRPr="00F77E79">
        <w:rPr>
          <w:rFonts w:ascii="Times New Roman" w:eastAsia="Times New Roman" w:hAnsi="Times New Roman" w:cs="Times New Roman"/>
          <w:color w:val="000000"/>
          <w:sz w:val="24"/>
          <w:szCs w:val="24"/>
          <w:lang w:eastAsia="tr-TR"/>
        </w:rPr>
        <w:t xml:space="preserve"> 2014). Bitkinin yaprakları ise halk arasında başta soğuk algınlığı ve öksürük tedavisinde olmak üzere, sivrisinek kovucu ve </w:t>
      </w:r>
      <w:proofErr w:type="spellStart"/>
      <w:r w:rsidRPr="00F77E79">
        <w:rPr>
          <w:rFonts w:ascii="Times New Roman" w:eastAsia="Times New Roman" w:hAnsi="Times New Roman" w:cs="Times New Roman"/>
          <w:color w:val="000000"/>
          <w:sz w:val="24"/>
          <w:szCs w:val="24"/>
          <w:lang w:eastAsia="tr-TR"/>
        </w:rPr>
        <w:t>antihelmentik</w:t>
      </w:r>
      <w:proofErr w:type="spellEnd"/>
      <w:r w:rsidRPr="00F77E79">
        <w:rPr>
          <w:rFonts w:ascii="Times New Roman" w:eastAsia="Times New Roman" w:hAnsi="Times New Roman" w:cs="Times New Roman"/>
          <w:color w:val="000000"/>
          <w:sz w:val="24"/>
          <w:szCs w:val="24"/>
          <w:lang w:eastAsia="tr-TR"/>
        </w:rPr>
        <w:t xml:space="preserve"> olarak da geleneksel kullanıma sahiptir (</w:t>
      </w:r>
      <w:proofErr w:type="spellStart"/>
      <w:r w:rsidRPr="00F77E79">
        <w:rPr>
          <w:rFonts w:ascii="Times New Roman" w:eastAsia="Times New Roman" w:hAnsi="Times New Roman" w:cs="Times New Roman"/>
          <w:color w:val="000000"/>
          <w:sz w:val="24"/>
          <w:szCs w:val="24"/>
          <w:lang w:eastAsia="tr-TR"/>
        </w:rPr>
        <w:t>Tibenda</w:t>
      </w:r>
      <w:proofErr w:type="spellEnd"/>
      <w:r w:rsidRPr="00F77E79">
        <w:rPr>
          <w:rFonts w:ascii="Times New Roman" w:eastAsia="Times New Roman" w:hAnsi="Times New Roman" w:cs="Times New Roman"/>
          <w:color w:val="000000"/>
          <w:sz w:val="24"/>
          <w:szCs w:val="24"/>
          <w:lang w:eastAsia="tr-TR"/>
        </w:rPr>
        <w:t xml:space="preserve"> 2022; </w:t>
      </w:r>
      <w:proofErr w:type="spellStart"/>
      <w:r w:rsidRPr="00F77E79">
        <w:rPr>
          <w:rFonts w:ascii="Times New Roman" w:eastAsia="Times New Roman" w:hAnsi="Times New Roman" w:cs="Times New Roman"/>
          <w:color w:val="000000"/>
          <w:sz w:val="24"/>
          <w:szCs w:val="24"/>
          <w:lang w:eastAsia="tr-TR"/>
        </w:rPr>
        <w:t>Kakurde</w:t>
      </w:r>
      <w:proofErr w:type="spellEnd"/>
      <w:r w:rsidRPr="00F77E79">
        <w:rPr>
          <w:rFonts w:ascii="Times New Roman" w:eastAsia="Times New Roman" w:hAnsi="Times New Roman" w:cs="Times New Roman"/>
          <w:color w:val="000000"/>
          <w:sz w:val="24"/>
          <w:szCs w:val="24"/>
          <w:lang w:eastAsia="tr-TR"/>
        </w:rPr>
        <w:t xml:space="preserve"> 2024).</w:t>
      </w:r>
    </w:p>
    <w:p w14:paraId="087E73B7" w14:textId="52729838" w:rsidR="00F77E79" w:rsidRPr="00F77E79" w:rsidRDefault="00FC6DFA" w:rsidP="00FC6DFA">
      <w:pPr>
        <w:spacing w:before="360" w:after="120" w:line="276" w:lineRule="auto"/>
        <w:ind w:left="360"/>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sz w:val="24"/>
          <w:szCs w:val="24"/>
          <w:lang w:eastAsia="tr-TR"/>
        </w:rPr>
        <w:t xml:space="preserve">5. </w:t>
      </w:r>
      <w:r w:rsidR="00F77E79" w:rsidRPr="00F77E79">
        <w:rPr>
          <w:rFonts w:ascii="Times New Roman" w:eastAsia="Times New Roman" w:hAnsi="Times New Roman" w:cs="Times New Roman"/>
          <w:b/>
          <w:bCs/>
          <w:color w:val="000000"/>
          <w:sz w:val="24"/>
          <w:szCs w:val="24"/>
          <w:lang w:eastAsia="tr-TR"/>
        </w:rPr>
        <w:t>Bitkinin Uçucu Yağı Kısmının Kimyasal Yapısı</w:t>
      </w:r>
    </w:p>
    <w:p w14:paraId="7629D831" w14:textId="7BE406A8" w:rsidR="00F77E79" w:rsidRPr="00F77E79" w:rsidRDefault="00F77E79" w:rsidP="009C516A">
      <w:pPr>
        <w:spacing w:before="240" w:after="240" w:line="276" w:lineRule="auto"/>
        <w:ind w:firstLine="72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Bitkinin ticarette </w:t>
      </w:r>
      <w:proofErr w:type="spellStart"/>
      <w:r w:rsidRPr="00F77E79">
        <w:rPr>
          <w:rFonts w:ascii="Times New Roman" w:eastAsia="Times New Roman" w:hAnsi="Times New Roman" w:cs="Times New Roman"/>
          <w:i/>
          <w:iCs/>
          <w:color w:val="000000"/>
          <w:sz w:val="24"/>
          <w:szCs w:val="24"/>
          <w:lang w:eastAsia="tr-TR"/>
        </w:rPr>
        <w:t>Cymbopogon</w:t>
      </w:r>
      <w:proofErr w:type="spellEnd"/>
      <w:r w:rsidRPr="00F77E79">
        <w:rPr>
          <w:rFonts w:ascii="Times New Roman" w:eastAsia="Times New Roman" w:hAnsi="Times New Roman" w:cs="Times New Roman"/>
          <w:i/>
          <w:iCs/>
          <w:color w:val="000000"/>
          <w:sz w:val="24"/>
          <w:szCs w:val="24"/>
          <w:lang w:eastAsia="tr-TR"/>
        </w:rPr>
        <w:t xml:space="preserve"> martini</w:t>
      </w:r>
      <w:r w:rsidRPr="00F77E79">
        <w:rPr>
          <w:rFonts w:ascii="Times New Roman" w:eastAsia="Times New Roman" w:hAnsi="Times New Roman" w:cs="Times New Roman"/>
          <w:color w:val="000000"/>
          <w:sz w:val="24"/>
          <w:szCs w:val="24"/>
          <w:lang w:eastAsia="tr-TR"/>
        </w:rPr>
        <w:t xml:space="preserve"> var. </w:t>
      </w:r>
      <w:proofErr w:type="spellStart"/>
      <w:proofErr w:type="gramStart"/>
      <w:r w:rsidRPr="00F77E79">
        <w:rPr>
          <w:rFonts w:ascii="Times New Roman" w:eastAsia="Times New Roman" w:hAnsi="Times New Roman" w:cs="Times New Roman"/>
          <w:b/>
          <w:bCs/>
          <w:i/>
          <w:iCs/>
          <w:color w:val="000000"/>
          <w:sz w:val="24"/>
          <w:szCs w:val="24"/>
          <w:lang w:eastAsia="tr-TR"/>
        </w:rPr>
        <w:t>motia</w:t>
      </w:r>
      <w:proofErr w:type="spellEnd"/>
      <w:proofErr w:type="gramEnd"/>
      <w:r w:rsidRPr="00F77E79">
        <w:rPr>
          <w:rFonts w:ascii="Times New Roman" w:eastAsia="Times New Roman" w:hAnsi="Times New Roman" w:cs="Times New Roman"/>
          <w:color w:val="000000"/>
          <w:sz w:val="24"/>
          <w:szCs w:val="24"/>
          <w:lang w:eastAsia="tr-TR"/>
        </w:rPr>
        <w:t xml:space="preserve"> ve </w:t>
      </w:r>
      <w:r w:rsidRPr="00F77E79">
        <w:rPr>
          <w:rFonts w:ascii="Times New Roman" w:eastAsia="Times New Roman" w:hAnsi="Times New Roman" w:cs="Times New Roman"/>
          <w:i/>
          <w:iCs/>
          <w:color w:val="000000"/>
          <w:sz w:val="24"/>
          <w:szCs w:val="24"/>
          <w:lang w:eastAsia="tr-TR"/>
        </w:rPr>
        <w:t>C</w:t>
      </w:r>
      <w:r w:rsidR="00C94279">
        <w:rPr>
          <w:rFonts w:ascii="Times New Roman" w:eastAsia="Times New Roman" w:hAnsi="Times New Roman" w:cs="Times New Roman"/>
          <w:i/>
          <w:iCs/>
          <w:color w:val="000000"/>
          <w:sz w:val="24"/>
          <w:szCs w:val="24"/>
          <w:lang w:eastAsia="tr-TR"/>
        </w:rPr>
        <w:t>.</w:t>
      </w:r>
      <w:r w:rsidRPr="00F77E79">
        <w:rPr>
          <w:rFonts w:ascii="Times New Roman" w:eastAsia="Times New Roman" w:hAnsi="Times New Roman" w:cs="Times New Roman"/>
          <w:i/>
          <w:iCs/>
          <w:color w:val="000000"/>
          <w:sz w:val="24"/>
          <w:szCs w:val="24"/>
          <w:lang w:eastAsia="tr-TR"/>
        </w:rPr>
        <w:t xml:space="preserve"> martini</w:t>
      </w:r>
      <w:r w:rsidRPr="00F77E79">
        <w:rPr>
          <w:rFonts w:ascii="Times New Roman" w:eastAsia="Times New Roman" w:hAnsi="Times New Roman" w:cs="Times New Roman"/>
          <w:color w:val="000000"/>
          <w:sz w:val="24"/>
          <w:szCs w:val="24"/>
          <w:lang w:eastAsia="tr-TR"/>
        </w:rPr>
        <w:t xml:space="preserve"> var. </w:t>
      </w:r>
      <w:proofErr w:type="spellStart"/>
      <w:proofErr w:type="gramStart"/>
      <w:r w:rsidRPr="00F77E79">
        <w:rPr>
          <w:rFonts w:ascii="Times New Roman" w:eastAsia="Times New Roman" w:hAnsi="Times New Roman" w:cs="Times New Roman"/>
          <w:b/>
          <w:bCs/>
          <w:i/>
          <w:iCs/>
          <w:color w:val="000000"/>
          <w:sz w:val="24"/>
          <w:szCs w:val="24"/>
          <w:lang w:eastAsia="tr-TR"/>
        </w:rPr>
        <w:t>sofia</w:t>
      </w:r>
      <w:proofErr w:type="spellEnd"/>
      <w:proofErr w:type="gramEnd"/>
      <w:r w:rsidRPr="00F77E79">
        <w:rPr>
          <w:rFonts w:ascii="Times New Roman" w:eastAsia="Times New Roman" w:hAnsi="Times New Roman" w:cs="Times New Roman"/>
          <w:color w:val="000000"/>
          <w:sz w:val="24"/>
          <w:szCs w:val="24"/>
          <w:lang w:eastAsia="tr-TR"/>
        </w:rPr>
        <w:t xml:space="preserve"> isimli varyeteleri bilinmektedir. </w:t>
      </w:r>
      <w:proofErr w:type="spellStart"/>
      <w:r w:rsidRPr="00F77E79">
        <w:rPr>
          <w:rFonts w:ascii="Times New Roman" w:eastAsia="Times New Roman" w:hAnsi="Times New Roman" w:cs="Times New Roman"/>
          <w:color w:val="000000"/>
          <w:sz w:val="24"/>
          <w:szCs w:val="24"/>
          <w:lang w:eastAsia="tr-TR"/>
        </w:rPr>
        <w:t>Palmaro</w:t>
      </w:r>
      <w:r w:rsidR="000026ED">
        <w:rPr>
          <w:rFonts w:ascii="Times New Roman" w:eastAsia="Times New Roman" w:hAnsi="Times New Roman" w:cs="Times New Roman"/>
          <w:color w:val="000000"/>
          <w:sz w:val="24"/>
          <w:szCs w:val="24"/>
          <w:lang w:eastAsia="tr-TR"/>
        </w:rPr>
        <w:t>z</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uçucu yağı </w:t>
      </w:r>
      <w:proofErr w:type="spellStart"/>
      <w:r w:rsidRPr="00F77E79">
        <w:rPr>
          <w:rFonts w:ascii="Times New Roman" w:eastAsia="Times New Roman" w:hAnsi="Times New Roman" w:cs="Times New Roman"/>
          <w:color w:val="000000"/>
          <w:sz w:val="24"/>
          <w:szCs w:val="24"/>
          <w:lang w:eastAsia="tr-TR"/>
        </w:rPr>
        <w:t>eldesinde</w:t>
      </w:r>
      <w:proofErr w:type="spellEnd"/>
      <w:r w:rsidRPr="00F77E79">
        <w:rPr>
          <w:rFonts w:ascii="Times New Roman" w:eastAsia="Times New Roman" w:hAnsi="Times New Roman" w:cs="Times New Roman"/>
          <w:color w:val="000000"/>
          <w:sz w:val="24"/>
          <w:szCs w:val="24"/>
          <w:lang w:eastAsia="tr-TR"/>
        </w:rPr>
        <w:t xml:space="preserve"> kullanılan varyete “</w:t>
      </w:r>
      <w:proofErr w:type="spellStart"/>
      <w:r w:rsidRPr="00F77E79">
        <w:rPr>
          <w:rFonts w:ascii="Times New Roman" w:eastAsia="Times New Roman" w:hAnsi="Times New Roman" w:cs="Times New Roman"/>
          <w:i/>
          <w:iCs/>
          <w:color w:val="000000"/>
          <w:sz w:val="24"/>
          <w:szCs w:val="24"/>
          <w:lang w:eastAsia="tr-TR"/>
        </w:rPr>
        <w:t>motia</w:t>
      </w:r>
      <w:proofErr w:type="spellEnd"/>
      <w:r w:rsidRPr="00F77E79">
        <w:rPr>
          <w:rFonts w:ascii="Times New Roman" w:eastAsia="Times New Roman" w:hAnsi="Times New Roman" w:cs="Times New Roman"/>
          <w:color w:val="000000"/>
          <w:sz w:val="24"/>
          <w:szCs w:val="24"/>
          <w:lang w:eastAsia="tr-TR"/>
        </w:rPr>
        <w:t xml:space="preserve">” olup ana bileşeni %77-%85 (ISO 4727-2021) oranındaki </w:t>
      </w:r>
      <w:proofErr w:type="spellStart"/>
      <w:r w:rsidRPr="00F77E79">
        <w:rPr>
          <w:rFonts w:ascii="Times New Roman" w:eastAsia="Times New Roman" w:hAnsi="Times New Roman" w:cs="Times New Roman"/>
          <w:color w:val="000000"/>
          <w:sz w:val="24"/>
          <w:szCs w:val="24"/>
          <w:lang w:eastAsia="tr-TR"/>
        </w:rPr>
        <w:t>geranioldür</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Geraniol</w:t>
      </w:r>
      <w:proofErr w:type="spellEnd"/>
      <w:r w:rsidR="00C94279">
        <w:rPr>
          <w:rFonts w:ascii="Times New Roman" w:eastAsia="Times New Roman" w:hAnsi="Times New Roman" w:cs="Times New Roman"/>
          <w:color w:val="000000"/>
          <w:sz w:val="24"/>
          <w:szCs w:val="24"/>
          <w:lang w:eastAsia="tr-TR"/>
        </w:rPr>
        <w:t>;</w:t>
      </w:r>
      <w:r w:rsidRPr="00F77E79">
        <w:rPr>
          <w:rFonts w:ascii="Times New Roman" w:eastAsia="Times New Roman" w:hAnsi="Times New Roman" w:cs="Times New Roman"/>
          <w:color w:val="000000"/>
          <w:sz w:val="24"/>
          <w:szCs w:val="24"/>
          <w:lang w:eastAsia="tr-TR"/>
        </w:rPr>
        <w:t xml:space="preserve"> uçucu yağa tatlı, </w:t>
      </w:r>
      <w:proofErr w:type="spellStart"/>
      <w:r w:rsidRPr="00F77E79">
        <w:rPr>
          <w:rFonts w:ascii="Times New Roman" w:eastAsia="Times New Roman" w:hAnsi="Times New Roman" w:cs="Times New Roman"/>
          <w:color w:val="000000"/>
          <w:sz w:val="24"/>
          <w:szCs w:val="24"/>
          <w:lang w:eastAsia="tr-TR"/>
        </w:rPr>
        <w:t>floral</w:t>
      </w:r>
      <w:proofErr w:type="spellEnd"/>
      <w:r w:rsidRPr="00F77E79">
        <w:rPr>
          <w:rFonts w:ascii="Times New Roman" w:eastAsia="Times New Roman" w:hAnsi="Times New Roman" w:cs="Times New Roman"/>
          <w:color w:val="000000"/>
          <w:sz w:val="24"/>
          <w:szCs w:val="24"/>
          <w:lang w:eastAsia="tr-TR"/>
        </w:rPr>
        <w:t xml:space="preserve"> ve gül kokusu kazandırır. Diğer varyeteden elde edilen uçucu yağın </w:t>
      </w:r>
      <w:r w:rsidR="000026ED">
        <w:rPr>
          <w:rFonts w:ascii="Times New Roman" w:eastAsia="Times New Roman" w:hAnsi="Times New Roman" w:cs="Times New Roman"/>
          <w:color w:val="000000"/>
          <w:sz w:val="24"/>
          <w:szCs w:val="24"/>
          <w:lang w:eastAsia="tr-TR"/>
        </w:rPr>
        <w:t>kompozisyonu</w:t>
      </w:r>
      <w:r w:rsidRPr="00F77E79">
        <w:rPr>
          <w:rFonts w:ascii="Times New Roman" w:eastAsia="Times New Roman" w:hAnsi="Times New Roman" w:cs="Times New Roman"/>
          <w:color w:val="000000"/>
          <w:sz w:val="24"/>
          <w:szCs w:val="24"/>
          <w:lang w:eastAsia="tr-TR"/>
        </w:rPr>
        <w:t xml:space="preserve"> oldukça farklı olup ticarette “</w:t>
      </w:r>
      <w:proofErr w:type="spellStart"/>
      <w:r w:rsidRPr="00F77E79">
        <w:rPr>
          <w:rFonts w:ascii="Times New Roman" w:eastAsia="Times New Roman" w:hAnsi="Times New Roman" w:cs="Times New Roman"/>
          <w:color w:val="000000"/>
          <w:sz w:val="24"/>
          <w:szCs w:val="24"/>
          <w:lang w:eastAsia="tr-TR"/>
        </w:rPr>
        <w:t>Gingergrass</w:t>
      </w:r>
      <w:proofErr w:type="spellEnd"/>
      <w:r w:rsidRPr="00F77E79">
        <w:rPr>
          <w:rFonts w:ascii="Times New Roman" w:eastAsia="Times New Roman" w:hAnsi="Times New Roman" w:cs="Times New Roman"/>
          <w:color w:val="000000"/>
          <w:sz w:val="24"/>
          <w:szCs w:val="24"/>
          <w:lang w:eastAsia="tr-TR"/>
        </w:rPr>
        <w:t xml:space="preserve">” ismiyle bilinir (Sen, 2023; </w:t>
      </w:r>
      <w:proofErr w:type="spellStart"/>
      <w:r w:rsidRPr="00F77E79">
        <w:rPr>
          <w:rFonts w:ascii="Times New Roman" w:eastAsia="Times New Roman" w:hAnsi="Times New Roman" w:cs="Times New Roman"/>
          <w:color w:val="000000"/>
          <w:sz w:val="24"/>
          <w:szCs w:val="24"/>
          <w:lang w:eastAsia="tr-TR"/>
        </w:rPr>
        <w:t>Neelvathi</w:t>
      </w:r>
      <w:proofErr w:type="spellEnd"/>
      <w:r w:rsidRPr="00F77E79">
        <w:rPr>
          <w:rFonts w:ascii="Times New Roman" w:eastAsia="Times New Roman" w:hAnsi="Times New Roman" w:cs="Times New Roman"/>
          <w:color w:val="000000"/>
          <w:sz w:val="24"/>
          <w:szCs w:val="24"/>
          <w:lang w:eastAsia="tr-TR"/>
        </w:rPr>
        <w:t xml:space="preserve">, 2025).  Bu yağ </w:t>
      </w:r>
      <w:r w:rsidRPr="00F77E79">
        <w:rPr>
          <w:rFonts w:ascii="Times New Roman" w:eastAsia="Times New Roman" w:hAnsi="Times New Roman" w:cs="Times New Roman"/>
          <w:i/>
          <w:iCs/>
          <w:color w:val="000000"/>
          <w:sz w:val="24"/>
          <w:szCs w:val="24"/>
          <w:lang w:eastAsia="tr-TR"/>
        </w:rPr>
        <w:t>p</w:t>
      </w:r>
      <w:r w:rsidRPr="00F77E79">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mentadienoller</w:t>
      </w:r>
      <w:proofErr w:type="spellEnd"/>
      <w:r w:rsidRPr="00F77E79">
        <w:rPr>
          <w:rFonts w:ascii="Times New Roman" w:eastAsia="Times New Roman" w:hAnsi="Times New Roman" w:cs="Times New Roman"/>
          <w:color w:val="000000"/>
          <w:sz w:val="24"/>
          <w:szCs w:val="24"/>
          <w:lang w:eastAsia="tr-TR"/>
        </w:rPr>
        <w:t xml:space="preserve"> bakımından zengin olup ana bileşenleri </w:t>
      </w:r>
      <w:r w:rsidRPr="00F77E79">
        <w:rPr>
          <w:rFonts w:ascii="Times New Roman" w:eastAsia="Times New Roman" w:hAnsi="Times New Roman" w:cs="Times New Roman"/>
          <w:i/>
          <w:iCs/>
          <w:color w:val="000000"/>
          <w:sz w:val="24"/>
          <w:szCs w:val="24"/>
          <w:lang w:eastAsia="tr-TR"/>
        </w:rPr>
        <w:t>trans-p</w:t>
      </w:r>
      <w:r w:rsidRPr="00F77E79">
        <w:rPr>
          <w:rFonts w:ascii="Times New Roman" w:eastAsia="Times New Roman" w:hAnsi="Times New Roman" w:cs="Times New Roman"/>
          <w:color w:val="000000"/>
          <w:sz w:val="24"/>
          <w:szCs w:val="24"/>
          <w:lang w:eastAsia="tr-TR"/>
        </w:rPr>
        <w:t>-men</w:t>
      </w:r>
      <w:r w:rsidR="000026ED">
        <w:rPr>
          <w:rFonts w:ascii="Times New Roman" w:eastAsia="Times New Roman" w:hAnsi="Times New Roman" w:cs="Times New Roman"/>
          <w:color w:val="000000"/>
          <w:sz w:val="24"/>
          <w:szCs w:val="24"/>
          <w:lang w:eastAsia="tr-TR"/>
        </w:rPr>
        <w:t>t</w:t>
      </w:r>
      <w:r w:rsidRPr="00F77E79">
        <w:rPr>
          <w:rFonts w:ascii="Times New Roman" w:eastAsia="Times New Roman" w:hAnsi="Times New Roman" w:cs="Times New Roman"/>
          <w:color w:val="000000"/>
          <w:sz w:val="24"/>
          <w:szCs w:val="24"/>
          <w:lang w:eastAsia="tr-TR"/>
        </w:rPr>
        <w:t xml:space="preserve">a-2,8-dien-1-ol, </w:t>
      </w:r>
      <w:r w:rsidRPr="00F77E79">
        <w:rPr>
          <w:rFonts w:ascii="Times New Roman" w:eastAsia="Times New Roman" w:hAnsi="Times New Roman" w:cs="Times New Roman"/>
          <w:i/>
          <w:iCs/>
          <w:color w:val="000000"/>
          <w:sz w:val="24"/>
          <w:szCs w:val="24"/>
          <w:lang w:eastAsia="tr-TR"/>
        </w:rPr>
        <w:t>cis-p</w:t>
      </w:r>
      <w:r w:rsidRPr="00F77E79">
        <w:rPr>
          <w:rFonts w:ascii="Times New Roman" w:eastAsia="Times New Roman" w:hAnsi="Times New Roman" w:cs="Times New Roman"/>
          <w:color w:val="000000"/>
          <w:sz w:val="24"/>
          <w:szCs w:val="24"/>
          <w:lang w:eastAsia="tr-TR"/>
        </w:rPr>
        <w:t>-men</w:t>
      </w:r>
      <w:r w:rsidR="000026ED">
        <w:rPr>
          <w:rFonts w:ascii="Times New Roman" w:eastAsia="Times New Roman" w:hAnsi="Times New Roman" w:cs="Times New Roman"/>
          <w:color w:val="000000"/>
          <w:sz w:val="24"/>
          <w:szCs w:val="24"/>
          <w:lang w:eastAsia="tr-TR"/>
        </w:rPr>
        <w:t>t</w:t>
      </w:r>
      <w:r w:rsidRPr="00F77E79">
        <w:rPr>
          <w:rFonts w:ascii="Times New Roman" w:eastAsia="Times New Roman" w:hAnsi="Times New Roman" w:cs="Times New Roman"/>
          <w:color w:val="000000"/>
          <w:sz w:val="24"/>
          <w:szCs w:val="24"/>
          <w:lang w:eastAsia="tr-TR"/>
        </w:rPr>
        <w:t>a-2,8-dien-1-ol, t</w:t>
      </w:r>
      <w:r w:rsidRPr="00F77E79">
        <w:rPr>
          <w:rFonts w:ascii="Times New Roman" w:eastAsia="Times New Roman" w:hAnsi="Times New Roman" w:cs="Times New Roman"/>
          <w:i/>
          <w:iCs/>
          <w:color w:val="000000"/>
          <w:sz w:val="24"/>
          <w:szCs w:val="24"/>
          <w:lang w:eastAsia="tr-TR"/>
        </w:rPr>
        <w:t>rans-p</w:t>
      </w:r>
      <w:r w:rsidRPr="00F77E79">
        <w:rPr>
          <w:rFonts w:ascii="Times New Roman" w:eastAsia="Times New Roman" w:hAnsi="Times New Roman" w:cs="Times New Roman"/>
          <w:color w:val="000000"/>
          <w:sz w:val="24"/>
          <w:szCs w:val="24"/>
          <w:lang w:eastAsia="tr-TR"/>
        </w:rPr>
        <w:t>-men</w:t>
      </w:r>
      <w:r w:rsidR="000026ED">
        <w:rPr>
          <w:rFonts w:ascii="Times New Roman" w:eastAsia="Times New Roman" w:hAnsi="Times New Roman" w:cs="Times New Roman"/>
          <w:color w:val="000000"/>
          <w:sz w:val="24"/>
          <w:szCs w:val="24"/>
          <w:lang w:eastAsia="tr-TR"/>
        </w:rPr>
        <w:t>t</w:t>
      </w:r>
      <w:r w:rsidRPr="00F77E79">
        <w:rPr>
          <w:rFonts w:ascii="Times New Roman" w:eastAsia="Times New Roman" w:hAnsi="Times New Roman" w:cs="Times New Roman"/>
          <w:color w:val="000000"/>
          <w:sz w:val="24"/>
          <w:szCs w:val="24"/>
          <w:lang w:eastAsia="tr-TR"/>
        </w:rPr>
        <w:t xml:space="preserve">a-1(7),8-dien-2-ol, </w:t>
      </w:r>
      <w:r w:rsidRPr="00F77E79">
        <w:rPr>
          <w:rFonts w:ascii="Times New Roman" w:eastAsia="Times New Roman" w:hAnsi="Times New Roman" w:cs="Times New Roman"/>
          <w:i/>
          <w:iCs/>
          <w:color w:val="000000"/>
          <w:sz w:val="24"/>
          <w:szCs w:val="24"/>
          <w:lang w:eastAsia="tr-TR"/>
        </w:rPr>
        <w:t>cis-p</w:t>
      </w:r>
      <w:r w:rsidRPr="00F77E79">
        <w:rPr>
          <w:rFonts w:ascii="Times New Roman" w:eastAsia="Times New Roman" w:hAnsi="Times New Roman" w:cs="Times New Roman"/>
          <w:color w:val="000000"/>
          <w:sz w:val="24"/>
          <w:szCs w:val="24"/>
          <w:lang w:eastAsia="tr-TR"/>
        </w:rPr>
        <w:t xml:space="preserve">-menta-1(7),8-dien-2-ol, </w:t>
      </w:r>
      <w:proofErr w:type="spellStart"/>
      <w:r w:rsidRPr="00F77E79">
        <w:rPr>
          <w:rFonts w:ascii="Times New Roman" w:eastAsia="Times New Roman" w:hAnsi="Times New Roman" w:cs="Times New Roman"/>
          <w:color w:val="000000"/>
          <w:sz w:val="24"/>
          <w:szCs w:val="24"/>
          <w:lang w:eastAsia="tr-TR"/>
        </w:rPr>
        <w:t>sabinol</w:t>
      </w:r>
      <w:proofErr w:type="spellEnd"/>
      <w:r w:rsidR="00C4004B">
        <w:rPr>
          <w:rFonts w:ascii="Times New Roman" w:eastAsia="Times New Roman" w:hAnsi="Times New Roman" w:cs="Times New Roman"/>
          <w:color w:val="000000"/>
          <w:sz w:val="24"/>
          <w:szCs w:val="24"/>
          <w:lang w:eastAsia="tr-TR"/>
        </w:rPr>
        <w:t xml:space="preserve">, </w:t>
      </w:r>
      <w:r w:rsidR="00C4004B" w:rsidRPr="00F77E79">
        <w:rPr>
          <w:rFonts w:ascii="Times New Roman" w:eastAsia="Times New Roman" w:hAnsi="Times New Roman" w:cs="Times New Roman"/>
          <w:i/>
          <w:iCs/>
          <w:color w:val="000000"/>
          <w:sz w:val="24"/>
          <w:szCs w:val="24"/>
          <w:lang w:eastAsia="tr-TR"/>
        </w:rPr>
        <w:t>trans</w:t>
      </w:r>
      <w:r w:rsidR="00C4004B" w:rsidRPr="00F77E79">
        <w:rPr>
          <w:rFonts w:ascii="Times New Roman" w:eastAsia="Times New Roman" w:hAnsi="Times New Roman" w:cs="Times New Roman"/>
          <w:color w:val="000000"/>
          <w:sz w:val="24"/>
          <w:szCs w:val="24"/>
          <w:lang w:eastAsia="tr-TR"/>
        </w:rPr>
        <w:t>-</w:t>
      </w:r>
      <w:proofErr w:type="spellStart"/>
      <w:r w:rsidR="00C4004B">
        <w:rPr>
          <w:rFonts w:ascii="Times New Roman" w:eastAsia="Times New Roman" w:hAnsi="Times New Roman" w:cs="Times New Roman"/>
          <w:color w:val="000000"/>
          <w:sz w:val="24"/>
          <w:szCs w:val="24"/>
          <w:lang w:eastAsia="tr-TR"/>
        </w:rPr>
        <w:t>k</w:t>
      </w:r>
      <w:r w:rsidR="00C4004B" w:rsidRPr="00F77E79">
        <w:rPr>
          <w:rFonts w:ascii="Times New Roman" w:eastAsia="Times New Roman" w:hAnsi="Times New Roman" w:cs="Times New Roman"/>
          <w:color w:val="000000"/>
          <w:sz w:val="24"/>
          <w:szCs w:val="24"/>
          <w:lang w:eastAsia="tr-TR"/>
        </w:rPr>
        <w:t>arveol</w:t>
      </w:r>
      <w:proofErr w:type="spellEnd"/>
      <w:r w:rsidR="00C4004B" w:rsidRPr="00F77E79">
        <w:rPr>
          <w:rFonts w:ascii="Times New Roman" w:eastAsia="Times New Roman" w:hAnsi="Times New Roman" w:cs="Times New Roman"/>
          <w:color w:val="000000"/>
          <w:sz w:val="24"/>
          <w:szCs w:val="24"/>
          <w:lang w:eastAsia="tr-TR"/>
        </w:rPr>
        <w:t xml:space="preserve">, </w:t>
      </w:r>
      <w:proofErr w:type="spellStart"/>
      <w:r w:rsidR="00C4004B" w:rsidRPr="00F77E79">
        <w:rPr>
          <w:rFonts w:ascii="Times New Roman" w:eastAsia="Times New Roman" w:hAnsi="Times New Roman" w:cs="Times New Roman"/>
          <w:i/>
          <w:iCs/>
          <w:color w:val="000000"/>
          <w:sz w:val="24"/>
          <w:szCs w:val="24"/>
          <w:lang w:eastAsia="tr-TR"/>
        </w:rPr>
        <w:t>cis</w:t>
      </w:r>
      <w:r w:rsidR="00C4004B" w:rsidRPr="00F77E79">
        <w:rPr>
          <w:rFonts w:ascii="Times New Roman" w:eastAsia="Times New Roman" w:hAnsi="Times New Roman" w:cs="Times New Roman"/>
          <w:color w:val="000000"/>
          <w:sz w:val="24"/>
          <w:szCs w:val="24"/>
          <w:lang w:eastAsia="tr-TR"/>
        </w:rPr>
        <w:t>-</w:t>
      </w:r>
      <w:r w:rsidR="00C4004B">
        <w:rPr>
          <w:rFonts w:ascii="Times New Roman" w:eastAsia="Times New Roman" w:hAnsi="Times New Roman" w:cs="Times New Roman"/>
          <w:color w:val="000000"/>
          <w:sz w:val="24"/>
          <w:szCs w:val="24"/>
          <w:lang w:eastAsia="tr-TR"/>
        </w:rPr>
        <w:t>k</w:t>
      </w:r>
      <w:r w:rsidR="00C4004B" w:rsidRPr="00F77E79">
        <w:rPr>
          <w:rFonts w:ascii="Times New Roman" w:eastAsia="Times New Roman" w:hAnsi="Times New Roman" w:cs="Times New Roman"/>
          <w:color w:val="000000"/>
          <w:sz w:val="24"/>
          <w:szCs w:val="24"/>
          <w:lang w:eastAsia="tr-TR"/>
        </w:rPr>
        <w:t>arveol’d</w:t>
      </w:r>
      <w:r w:rsidR="00C4004B">
        <w:rPr>
          <w:rFonts w:ascii="Times New Roman" w:eastAsia="Times New Roman" w:hAnsi="Times New Roman" w:cs="Times New Roman"/>
          <w:color w:val="000000"/>
          <w:sz w:val="24"/>
          <w:szCs w:val="24"/>
          <w:lang w:eastAsia="tr-TR"/>
        </w:rPr>
        <w:t>ür</w:t>
      </w:r>
      <w:proofErr w:type="spellEnd"/>
      <w:r w:rsidR="00C4004B" w:rsidRPr="00F77E79" w:rsidDel="00C4004B">
        <w:rPr>
          <w:rFonts w:ascii="Times New Roman" w:eastAsia="Times New Roman" w:hAnsi="Times New Roman" w:cs="Times New Roman"/>
          <w:i/>
          <w:iCs/>
          <w:color w:val="000000"/>
          <w:sz w:val="24"/>
          <w:szCs w:val="24"/>
          <w:lang w:eastAsia="tr-TR"/>
        </w:rPr>
        <w:t xml:space="preserve"> </w:t>
      </w:r>
      <w:r w:rsidRPr="00F77E79">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Jain</w:t>
      </w:r>
      <w:proofErr w:type="spellEnd"/>
      <w:r w:rsidRPr="00F77E79">
        <w:rPr>
          <w:rFonts w:ascii="Times New Roman" w:eastAsia="Times New Roman" w:hAnsi="Times New Roman" w:cs="Times New Roman"/>
          <w:color w:val="000000"/>
          <w:sz w:val="24"/>
          <w:szCs w:val="24"/>
          <w:lang w:eastAsia="tr-TR"/>
        </w:rPr>
        <w:t xml:space="preserve"> 2017; </w:t>
      </w:r>
      <w:proofErr w:type="gramStart"/>
      <w:r w:rsidRPr="00F77E79">
        <w:rPr>
          <w:rFonts w:ascii="Times New Roman" w:eastAsia="Times New Roman" w:hAnsi="Times New Roman" w:cs="Times New Roman"/>
          <w:color w:val="000000"/>
          <w:sz w:val="24"/>
          <w:szCs w:val="24"/>
          <w:lang w:eastAsia="tr-TR"/>
        </w:rPr>
        <w:t>Sen</w:t>
      </w:r>
      <w:proofErr w:type="gramEnd"/>
      <w:r w:rsidRPr="00F77E79">
        <w:rPr>
          <w:rFonts w:ascii="Times New Roman" w:eastAsia="Times New Roman" w:hAnsi="Times New Roman" w:cs="Times New Roman"/>
          <w:color w:val="000000"/>
          <w:sz w:val="24"/>
          <w:szCs w:val="24"/>
          <w:lang w:eastAsia="tr-TR"/>
        </w:rPr>
        <w:t xml:space="preserve"> 2023). </w:t>
      </w:r>
    </w:p>
    <w:p w14:paraId="3E57D027" w14:textId="51CA35C7" w:rsidR="00F77E79" w:rsidRPr="00F77E79" w:rsidRDefault="00F77E79" w:rsidP="009C516A">
      <w:pPr>
        <w:spacing w:before="240" w:after="240" w:line="276" w:lineRule="auto"/>
        <w:ind w:firstLine="72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Yapılan çok sayıda çalışmada da </w:t>
      </w:r>
      <w:proofErr w:type="spellStart"/>
      <w:r w:rsidRPr="00F77E79">
        <w:rPr>
          <w:rFonts w:ascii="Times New Roman" w:eastAsia="Times New Roman" w:hAnsi="Times New Roman" w:cs="Times New Roman"/>
          <w:color w:val="000000"/>
          <w:sz w:val="24"/>
          <w:szCs w:val="24"/>
          <w:lang w:eastAsia="tr-TR"/>
        </w:rPr>
        <w:t>palmaro</w:t>
      </w:r>
      <w:r w:rsidR="000026ED">
        <w:rPr>
          <w:rFonts w:ascii="Times New Roman" w:eastAsia="Times New Roman" w:hAnsi="Times New Roman" w:cs="Times New Roman"/>
          <w:color w:val="000000"/>
          <w:sz w:val="24"/>
          <w:szCs w:val="24"/>
          <w:lang w:eastAsia="tr-TR"/>
        </w:rPr>
        <w:t>za</w:t>
      </w:r>
      <w:proofErr w:type="spellEnd"/>
      <w:r w:rsidR="000026ED">
        <w:rPr>
          <w:rFonts w:ascii="Times New Roman" w:eastAsia="Times New Roman" w:hAnsi="Times New Roman" w:cs="Times New Roman"/>
          <w:color w:val="000000"/>
          <w:sz w:val="24"/>
          <w:szCs w:val="24"/>
          <w:lang w:eastAsia="tr-TR"/>
        </w:rPr>
        <w:t xml:space="preserve"> bitkisinin</w:t>
      </w:r>
      <w:r w:rsidRPr="00F77E79">
        <w:rPr>
          <w:rFonts w:ascii="Times New Roman" w:eastAsia="Times New Roman" w:hAnsi="Times New Roman" w:cs="Times New Roman"/>
          <w:color w:val="000000"/>
          <w:sz w:val="24"/>
          <w:szCs w:val="24"/>
          <w:lang w:eastAsia="tr-TR"/>
        </w:rPr>
        <w:t xml:space="preserve"> toprak üstü kısımlarından elde edilen uçucu yağın ana bileşenlerinin başta </w:t>
      </w:r>
      <w:proofErr w:type="spellStart"/>
      <w:r w:rsidRPr="00F77E79">
        <w:rPr>
          <w:rFonts w:ascii="Times New Roman" w:eastAsia="Times New Roman" w:hAnsi="Times New Roman" w:cs="Times New Roman"/>
          <w:color w:val="000000"/>
          <w:sz w:val="24"/>
          <w:szCs w:val="24"/>
          <w:lang w:eastAsia="tr-TR"/>
        </w:rPr>
        <w:t>geraniol</w:t>
      </w:r>
      <w:proofErr w:type="spellEnd"/>
      <w:r w:rsidRPr="00F77E79">
        <w:rPr>
          <w:rFonts w:ascii="Times New Roman" w:eastAsia="Times New Roman" w:hAnsi="Times New Roman" w:cs="Times New Roman"/>
          <w:color w:val="000000"/>
          <w:sz w:val="24"/>
          <w:szCs w:val="24"/>
          <w:lang w:eastAsia="tr-TR"/>
        </w:rPr>
        <w:t xml:space="preserve"> (%65-85) olmak üzere, </w:t>
      </w:r>
      <w:proofErr w:type="spellStart"/>
      <w:r w:rsidRPr="00F77E79">
        <w:rPr>
          <w:rFonts w:ascii="Times New Roman" w:eastAsia="Times New Roman" w:hAnsi="Times New Roman" w:cs="Times New Roman"/>
          <w:color w:val="000000"/>
          <w:sz w:val="24"/>
          <w:szCs w:val="24"/>
          <w:lang w:eastAsia="tr-TR"/>
        </w:rPr>
        <w:t>geranil</w:t>
      </w:r>
      <w:proofErr w:type="spellEnd"/>
      <w:r w:rsidRPr="00F77E79">
        <w:rPr>
          <w:rFonts w:ascii="Times New Roman" w:eastAsia="Times New Roman" w:hAnsi="Times New Roman" w:cs="Times New Roman"/>
          <w:color w:val="000000"/>
          <w:sz w:val="24"/>
          <w:szCs w:val="24"/>
          <w:lang w:eastAsia="tr-TR"/>
        </w:rPr>
        <w:t xml:space="preserve"> asetat, </w:t>
      </w:r>
      <w:proofErr w:type="spellStart"/>
      <w:r w:rsidRPr="00F77E79">
        <w:rPr>
          <w:rFonts w:ascii="Times New Roman" w:eastAsia="Times New Roman" w:hAnsi="Times New Roman" w:cs="Times New Roman"/>
          <w:color w:val="000000"/>
          <w:sz w:val="24"/>
          <w:szCs w:val="24"/>
          <w:lang w:eastAsia="tr-TR"/>
        </w:rPr>
        <w:t>geranial</w:t>
      </w:r>
      <w:proofErr w:type="spellEnd"/>
      <w:r w:rsidRPr="00F77E79">
        <w:rPr>
          <w:rFonts w:ascii="Times New Roman" w:eastAsia="Times New Roman" w:hAnsi="Times New Roman" w:cs="Times New Roman"/>
          <w:color w:val="000000"/>
          <w:sz w:val="24"/>
          <w:szCs w:val="24"/>
          <w:lang w:eastAsia="tr-TR"/>
        </w:rPr>
        <w:t xml:space="preserve">, </w:t>
      </w:r>
      <w:proofErr w:type="spellStart"/>
      <w:r w:rsidR="00C4004B" w:rsidRPr="00F77E79">
        <w:rPr>
          <w:rFonts w:ascii="Times New Roman" w:eastAsia="Times New Roman" w:hAnsi="Times New Roman" w:cs="Times New Roman"/>
          <w:color w:val="000000"/>
          <w:sz w:val="24"/>
          <w:szCs w:val="24"/>
          <w:lang w:eastAsia="tr-TR"/>
        </w:rPr>
        <w:t>linalol</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sitronellol</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nerol</w:t>
      </w:r>
      <w:proofErr w:type="spellEnd"/>
      <w:r w:rsidRPr="00F77E79">
        <w:rPr>
          <w:rFonts w:ascii="Times New Roman" w:eastAsia="Times New Roman" w:hAnsi="Times New Roman" w:cs="Times New Roman"/>
          <w:color w:val="000000"/>
          <w:sz w:val="24"/>
          <w:szCs w:val="24"/>
          <w:lang w:eastAsia="tr-TR"/>
        </w:rPr>
        <w:t xml:space="preserve"> ve minör oranda </w:t>
      </w:r>
      <w:proofErr w:type="spellStart"/>
      <w:r w:rsidRPr="00F77E79">
        <w:rPr>
          <w:rFonts w:ascii="Times New Roman" w:eastAsia="Times New Roman" w:hAnsi="Times New Roman" w:cs="Times New Roman"/>
          <w:color w:val="000000"/>
          <w:sz w:val="24"/>
          <w:szCs w:val="24"/>
          <w:lang w:eastAsia="tr-TR"/>
        </w:rPr>
        <w:t>seskiterpenlerden</w:t>
      </w:r>
      <w:proofErr w:type="spellEnd"/>
      <w:r w:rsidRPr="00F77E79">
        <w:rPr>
          <w:rFonts w:ascii="Times New Roman" w:eastAsia="Times New Roman" w:hAnsi="Times New Roman" w:cs="Times New Roman"/>
          <w:color w:val="000000"/>
          <w:sz w:val="24"/>
          <w:szCs w:val="24"/>
          <w:lang w:eastAsia="tr-TR"/>
        </w:rPr>
        <w:t xml:space="preserve"> meydana geldiği rapor edilmiştir (</w:t>
      </w:r>
      <w:proofErr w:type="spellStart"/>
      <w:r w:rsidRPr="00F77E79">
        <w:rPr>
          <w:rFonts w:ascii="Times New Roman" w:eastAsia="Times New Roman" w:hAnsi="Times New Roman" w:cs="Times New Roman"/>
          <w:color w:val="000000"/>
          <w:sz w:val="24"/>
          <w:szCs w:val="24"/>
          <w:lang w:eastAsia="tr-TR"/>
        </w:rPr>
        <w:t>Raina</w:t>
      </w:r>
      <w:proofErr w:type="spellEnd"/>
      <w:r w:rsidRPr="00F77E79">
        <w:rPr>
          <w:rFonts w:ascii="Times New Roman" w:eastAsia="Times New Roman" w:hAnsi="Times New Roman" w:cs="Times New Roman"/>
          <w:color w:val="000000"/>
          <w:sz w:val="24"/>
          <w:szCs w:val="24"/>
          <w:lang w:eastAsia="tr-TR"/>
        </w:rPr>
        <w:t xml:space="preserve">, 2003; </w:t>
      </w:r>
      <w:proofErr w:type="spellStart"/>
      <w:r w:rsidRPr="00F77E79">
        <w:rPr>
          <w:rFonts w:ascii="Times New Roman" w:eastAsia="Times New Roman" w:hAnsi="Times New Roman" w:cs="Times New Roman"/>
          <w:color w:val="000000"/>
          <w:sz w:val="24"/>
          <w:szCs w:val="24"/>
          <w:lang w:eastAsia="tr-TR"/>
        </w:rPr>
        <w:t>Karami</w:t>
      </w:r>
      <w:proofErr w:type="spellEnd"/>
      <w:r w:rsidRPr="00F77E79">
        <w:rPr>
          <w:rFonts w:ascii="Times New Roman" w:eastAsia="Times New Roman" w:hAnsi="Times New Roman" w:cs="Times New Roman"/>
          <w:color w:val="000000"/>
          <w:sz w:val="24"/>
          <w:szCs w:val="24"/>
          <w:lang w:eastAsia="tr-TR"/>
        </w:rPr>
        <w:t xml:space="preserve">, 2021; </w:t>
      </w:r>
      <w:proofErr w:type="spellStart"/>
      <w:r w:rsidRPr="00F77E79">
        <w:rPr>
          <w:rFonts w:ascii="Times New Roman" w:eastAsia="Times New Roman" w:hAnsi="Times New Roman" w:cs="Times New Roman"/>
          <w:color w:val="000000"/>
          <w:sz w:val="24"/>
          <w:szCs w:val="24"/>
          <w:lang w:eastAsia="tr-TR"/>
        </w:rPr>
        <w:t>Tibenda</w:t>
      </w:r>
      <w:proofErr w:type="spellEnd"/>
      <w:r w:rsidRPr="00F77E79">
        <w:rPr>
          <w:rFonts w:ascii="Times New Roman" w:eastAsia="Times New Roman" w:hAnsi="Times New Roman" w:cs="Times New Roman"/>
          <w:color w:val="000000"/>
          <w:sz w:val="24"/>
          <w:szCs w:val="24"/>
          <w:lang w:eastAsia="tr-TR"/>
        </w:rPr>
        <w:t xml:space="preserve"> 2022; </w:t>
      </w:r>
      <w:proofErr w:type="gramStart"/>
      <w:r w:rsidRPr="00F77E79">
        <w:rPr>
          <w:rFonts w:ascii="Times New Roman" w:eastAsia="Times New Roman" w:hAnsi="Times New Roman" w:cs="Times New Roman"/>
          <w:color w:val="000000"/>
          <w:sz w:val="24"/>
          <w:szCs w:val="24"/>
          <w:lang w:eastAsia="tr-TR"/>
        </w:rPr>
        <w:t>Sen</w:t>
      </w:r>
      <w:proofErr w:type="gramEnd"/>
      <w:r w:rsidR="00841952">
        <w:rPr>
          <w:rFonts w:ascii="Times New Roman" w:eastAsia="Times New Roman" w:hAnsi="Times New Roman" w:cs="Times New Roman"/>
          <w:color w:val="000000"/>
          <w:sz w:val="24"/>
          <w:szCs w:val="24"/>
          <w:lang w:eastAsia="tr-TR"/>
        </w:rPr>
        <w:t>,</w:t>
      </w:r>
      <w:r w:rsidRPr="00F77E79">
        <w:rPr>
          <w:rFonts w:ascii="Times New Roman" w:eastAsia="Times New Roman" w:hAnsi="Times New Roman" w:cs="Times New Roman"/>
          <w:color w:val="000000"/>
          <w:sz w:val="24"/>
          <w:szCs w:val="24"/>
          <w:lang w:eastAsia="tr-TR"/>
        </w:rPr>
        <w:t xml:space="preserve"> 2023; </w:t>
      </w:r>
      <w:proofErr w:type="spellStart"/>
      <w:r w:rsidRPr="00F77E79">
        <w:rPr>
          <w:rFonts w:ascii="Times New Roman" w:eastAsia="Times New Roman" w:hAnsi="Times New Roman" w:cs="Times New Roman"/>
          <w:color w:val="000000"/>
          <w:sz w:val="24"/>
          <w:szCs w:val="24"/>
          <w:lang w:eastAsia="tr-TR"/>
        </w:rPr>
        <w:t>Cebollada</w:t>
      </w:r>
      <w:proofErr w:type="spellEnd"/>
      <w:r w:rsidR="00841952">
        <w:rPr>
          <w:rFonts w:ascii="Times New Roman" w:eastAsia="Times New Roman" w:hAnsi="Times New Roman" w:cs="Times New Roman"/>
          <w:color w:val="000000"/>
          <w:sz w:val="24"/>
          <w:szCs w:val="24"/>
          <w:lang w:eastAsia="tr-TR"/>
        </w:rPr>
        <w:t>,</w:t>
      </w:r>
      <w:r w:rsidRPr="00F77E79">
        <w:rPr>
          <w:rFonts w:ascii="Times New Roman" w:eastAsia="Times New Roman" w:hAnsi="Times New Roman" w:cs="Times New Roman"/>
          <w:color w:val="000000"/>
          <w:sz w:val="24"/>
          <w:szCs w:val="24"/>
          <w:lang w:eastAsia="tr-TR"/>
        </w:rPr>
        <w:t xml:space="preserve"> 2026). </w:t>
      </w:r>
      <w:proofErr w:type="spellStart"/>
      <w:r w:rsidRPr="00F77E79">
        <w:rPr>
          <w:rFonts w:ascii="Times New Roman" w:eastAsia="Times New Roman" w:hAnsi="Times New Roman" w:cs="Times New Roman"/>
          <w:color w:val="000000"/>
          <w:sz w:val="24"/>
          <w:szCs w:val="24"/>
          <w:lang w:eastAsia="tr-TR"/>
        </w:rPr>
        <w:t>Dangol</w:t>
      </w:r>
      <w:proofErr w:type="spellEnd"/>
      <w:r w:rsidRPr="00F77E79">
        <w:rPr>
          <w:rFonts w:ascii="Times New Roman" w:eastAsia="Times New Roman" w:hAnsi="Times New Roman" w:cs="Times New Roman"/>
          <w:color w:val="000000"/>
          <w:sz w:val="24"/>
          <w:szCs w:val="24"/>
          <w:lang w:eastAsia="tr-TR"/>
        </w:rPr>
        <w:t xml:space="preserve"> ve ark</w:t>
      </w:r>
      <w:r w:rsidR="00841952">
        <w:rPr>
          <w:rFonts w:ascii="Times New Roman" w:eastAsia="Times New Roman" w:hAnsi="Times New Roman" w:cs="Times New Roman"/>
          <w:color w:val="000000"/>
          <w:sz w:val="24"/>
          <w:szCs w:val="24"/>
          <w:lang w:eastAsia="tr-TR"/>
        </w:rPr>
        <w:t>.,</w:t>
      </w:r>
      <w:r w:rsidRPr="00F77E79">
        <w:rPr>
          <w:rFonts w:ascii="Times New Roman" w:eastAsia="Times New Roman" w:hAnsi="Times New Roman" w:cs="Times New Roman"/>
          <w:color w:val="000000"/>
          <w:sz w:val="24"/>
          <w:szCs w:val="24"/>
          <w:lang w:eastAsia="tr-TR"/>
        </w:rPr>
        <w:t xml:space="preserve"> </w:t>
      </w:r>
      <w:r w:rsidR="000026ED">
        <w:rPr>
          <w:rFonts w:ascii="Times New Roman" w:eastAsia="Times New Roman" w:hAnsi="Times New Roman" w:cs="Times New Roman"/>
          <w:color w:val="000000"/>
          <w:sz w:val="24"/>
          <w:szCs w:val="24"/>
          <w:lang w:eastAsia="tr-TR"/>
        </w:rPr>
        <w:t>(</w:t>
      </w:r>
      <w:r w:rsidRPr="00F77E79">
        <w:rPr>
          <w:rFonts w:ascii="Times New Roman" w:eastAsia="Times New Roman" w:hAnsi="Times New Roman" w:cs="Times New Roman"/>
          <w:color w:val="000000"/>
          <w:sz w:val="24"/>
          <w:szCs w:val="24"/>
          <w:lang w:eastAsia="tr-TR"/>
        </w:rPr>
        <w:t xml:space="preserve">2023) </w:t>
      </w:r>
      <w:r w:rsidRPr="00F77E79">
        <w:rPr>
          <w:rFonts w:ascii="Times New Roman" w:eastAsia="Times New Roman" w:hAnsi="Times New Roman" w:cs="Times New Roman"/>
          <w:i/>
          <w:iCs/>
          <w:color w:val="000000"/>
          <w:sz w:val="24"/>
          <w:szCs w:val="24"/>
          <w:lang w:eastAsia="tr-TR"/>
        </w:rPr>
        <w:t xml:space="preserve">C. martini </w:t>
      </w:r>
      <w:r w:rsidRPr="00F77E79">
        <w:rPr>
          <w:rFonts w:ascii="Times New Roman" w:eastAsia="Times New Roman" w:hAnsi="Times New Roman" w:cs="Times New Roman"/>
          <w:color w:val="000000"/>
          <w:sz w:val="24"/>
          <w:szCs w:val="24"/>
          <w:lang w:eastAsia="tr-TR"/>
        </w:rPr>
        <w:t xml:space="preserve">köklerinden elde edilen düşük verimli (%0,5) uçucu yağın ana bileşenlerini yine </w:t>
      </w:r>
      <w:proofErr w:type="spellStart"/>
      <w:r w:rsidRPr="00F77E79">
        <w:rPr>
          <w:rFonts w:ascii="Times New Roman" w:eastAsia="Times New Roman" w:hAnsi="Times New Roman" w:cs="Times New Roman"/>
          <w:color w:val="000000"/>
          <w:sz w:val="24"/>
          <w:szCs w:val="24"/>
          <w:lang w:eastAsia="tr-TR"/>
        </w:rPr>
        <w:t>geraniol</w:t>
      </w:r>
      <w:proofErr w:type="spellEnd"/>
      <w:r w:rsidRPr="00F77E79">
        <w:rPr>
          <w:rFonts w:ascii="Times New Roman" w:eastAsia="Times New Roman" w:hAnsi="Times New Roman" w:cs="Times New Roman"/>
          <w:color w:val="000000"/>
          <w:sz w:val="24"/>
          <w:szCs w:val="24"/>
          <w:lang w:eastAsia="tr-TR"/>
        </w:rPr>
        <w:t xml:space="preserve"> başta olmak üzere (%88), </w:t>
      </w:r>
      <w:proofErr w:type="spellStart"/>
      <w:r w:rsidRPr="00F77E79">
        <w:rPr>
          <w:rFonts w:ascii="Times New Roman" w:eastAsia="Times New Roman" w:hAnsi="Times New Roman" w:cs="Times New Roman"/>
          <w:color w:val="000000"/>
          <w:sz w:val="24"/>
          <w:szCs w:val="24"/>
          <w:lang w:eastAsia="tr-TR"/>
        </w:rPr>
        <w:t>geranil</w:t>
      </w:r>
      <w:proofErr w:type="spellEnd"/>
      <w:r w:rsidRPr="00F77E79">
        <w:rPr>
          <w:rFonts w:ascii="Times New Roman" w:eastAsia="Times New Roman" w:hAnsi="Times New Roman" w:cs="Times New Roman"/>
          <w:color w:val="000000"/>
          <w:sz w:val="24"/>
          <w:szCs w:val="24"/>
          <w:lang w:eastAsia="tr-TR"/>
        </w:rPr>
        <w:t xml:space="preserve"> asetat, </w:t>
      </w:r>
      <w:proofErr w:type="spellStart"/>
      <w:r w:rsidRPr="00F77E79">
        <w:rPr>
          <w:rFonts w:ascii="Times New Roman" w:eastAsia="Times New Roman" w:hAnsi="Times New Roman" w:cs="Times New Roman"/>
          <w:color w:val="000000"/>
          <w:sz w:val="24"/>
          <w:szCs w:val="24"/>
          <w:lang w:eastAsia="tr-TR"/>
        </w:rPr>
        <w:t>farnesol</w:t>
      </w:r>
      <w:proofErr w:type="spellEnd"/>
      <w:r w:rsidRPr="00F77E79">
        <w:rPr>
          <w:rFonts w:ascii="Times New Roman" w:eastAsia="Times New Roman" w:hAnsi="Times New Roman" w:cs="Times New Roman"/>
          <w:color w:val="000000"/>
          <w:sz w:val="24"/>
          <w:szCs w:val="24"/>
          <w:lang w:eastAsia="tr-TR"/>
        </w:rPr>
        <w:t xml:space="preserve"> ve </w:t>
      </w:r>
      <w:proofErr w:type="spellStart"/>
      <w:r w:rsidRPr="00F77E79">
        <w:rPr>
          <w:rFonts w:ascii="Times New Roman" w:eastAsia="Times New Roman" w:hAnsi="Times New Roman" w:cs="Times New Roman"/>
          <w:color w:val="000000"/>
          <w:sz w:val="24"/>
          <w:szCs w:val="24"/>
          <w:lang w:eastAsia="tr-TR"/>
        </w:rPr>
        <w:t>linalool</w:t>
      </w:r>
      <w:proofErr w:type="spellEnd"/>
      <w:r w:rsidRPr="00F77E79">
        <w:rPr>
          <w:rFonts w:ascii="Times New Roman" w:eastAsia="Times New Roman" w:hAnsi="Times New Roman" w:cs="Times New Roman"/>
          <w:color w:val="000000"/>
          <w:sz w:val="24"/>
          <w:szCs w:val="24"/>
          <w:lang w:eastAsia="tr-TR"/>
        </w:rPr>
        <w:t xml:space="preserve"> olarak tespit etmişlerdir.</w:t>
      </w:r>
    </w:p>
    <w:p w14:paraId="49D947DA" w14:textId="5AFC2327" w:rsidR="00F77E79" w:rsidRPr="00F77E79" w:rsidRDefault="00F77E79" w:rsidP="009C516A">
      <w:pPr>
        <w:spacing w:before="240" w:after="240" w:line="276" w:lineRule="auto"/>
        <w:ind w:firstLine="72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lastRenderedPageBreak/>
        <w:t xml:space="preserve">Uçucu yağ dışında gerçekleştirilmiş sınırlı sayıdaki </w:t>
      </w:r>
      <w:proofErr w:type="spellStart"/>
      <w:r w:rsidRPr="00F77E79">
        <w:rPr>
          <w:rFonts w:ascii="Times New Roman" w:eastAsia="Times New Roman" w:hAnsi="Times New Roman" w:cs="Times New Roman"/>
          <w:color w:val="000000"/>
          <w:sz w:val="24"/>
          <w:szCs w:val="24"/>
          <w:lang w:eastAsia="tr-TR"/>
        </w:rPr>
        <w:t>fitokimya</w:t>
      </w:r>
      <w:proofErr w:type="spellEnd"/>
      <w:r w:rsidRPr="00F77E79">
        <w:rPr>
          <w:rFonts w:ascii="Times New Roman" w:eastAsia="Times New Roman" w:hAnsi="Times New Roman" w:cs="Times New Roman"/>
          <w:color w:val="000000"/>
          <w:sz w:val="24"/>
          <w:szCs w:val="24"/>
          <w:lang w:eastAsia="tr-TR"/>
        </w:rPr>
        <w:t xml:space="preserve"> çalışmasında </w:t>
      </w:r>
      <w:proofErr w:type="spellStart"/>
      <w:r w:rsidR="00CF4BF6">
        <w:rPr>
          <w:rFonts w:ascii="Times New Roman" w:eastAsia="Times New Roman" w:hAnsi="Times New Roman" w:cs="Times New Roman"/>
          <w:color w:val="000000"/>
          <w:sz w:val="24"/>
          <w:szCs w:val="24"/>
          <w:lang w:eastAsia="tr-TR"/>
        </w:rPr>
        <w:t>p</w:t>
      </w:r>
      <w:r w:rsidRPr="00F77E79">
        <w:rPr>
          <w:rFonts w:ascii="Times New Roman" w:eastAsia="Times New Roman" w:hAnsi="Times New Roman" w:cs="Times New Roman"/>
          <w:color w:val="000000"/>
          <w:sz w:val="24"/>
          <w:szCs w:val="24"/>
          <w:lang w:eastAsia="tr-TR"/>
        </w:rPr>
        <w:t>almaro</w:t>
      </w:r>
      <w:r w:rsidR="000026ED">
        <w:rPr>
          <w:rFonts w:ascii="Times New Roman" w:eastAsia="Times New Roman" w:hAnsi="Times New Roman" w:cs="Times New Roman"/>
          <w:color w:val="000000"/>
          <w:sz w:val="24"/>
          <w:szCs w:val="24"/>
          <w:lang w:eastAsia="tr-TR"/>
        </w:rPr>
        <w:t>z</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yapraklarının çeşitli polaritelerde çözücüler ile hazırlanan ekstrelerinde yapılan teşhis reaksiyonları ile alkaloit, </w:t>
      </w:r>
      <w:proofErr w:type="spellStart"/>
      <w:r w:rsidRPr="00F77E79">
        <w:rPr>
          <w:rFonts w:ascii="Times New Roman" w:eastAsia="Times New Roman" w:hAnsi="Times New Roman" w:cs="Times New Roman"/>
          <w:color w:val="000000"/>
          <w:sz w:val="24"/>
          <w:szCs w:val="24"/>
          <w:lang w:eastAsia="tr-TR"/>
        </w:rPr>
        <w:t>flavonoit</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fitosterol</w:t>
      </w:r>
      <w:proofErr w:type="spellEnd"/>
      <w:r w:rsidRPr="00F77E79">
        <w:rPr>
          <w:rFonts w:ascii="Times New Roman" w:eastAsia="Times New Roman" w:hAnsi="Times New Roman" w:cs="Times New Roman"/>
          <w:color w:val="000000"/>
          <w:sz w:val="24"/>
          <w:szCs w:val="24"/>
          <w:lang w:eastAsia="tr-TR"/>
        </w:rPr>
        <w:t xml:space="preserve">, tanen ve </w:t>
      </w:r>
      <w:proofErr w:type="spellStart"/>
      <w:r w:rsidRPr="00F77E79">
        <w:rPr>
          <w:rFonts w:ascii="Times New Roman" w:eastAsia="Times New Roman" w:hAnsi="Times New Roman" w:cs="Times New Roman"/>
          <w:color w:val="000000"/>
          <w:sz w:val="24"/>
          <w:szCs w:val="24"/>
          <w:lang w:eastAsia="tr-TR"/>
        </w:rPr>
        <w:t>antosiyaninlerin</w:t>
      </w:r>
      <w:proofErr w:type="spellEnd"/>
      <w:r w:rsidRPr="00F77E79">
        <w:rPr>
          <w:rFonts w:ascii="Times New Roman" w:eastAsia="Times New Roman" w:hAnsi="Times New Roman" w:cs="Times New Roman"/>
          <w:color w:val="000000"/>
          <w:sz w:val="24"/>
          <w:szCs w:val="24"/>
          <w:lang w:eastAsia="tr-TR"/>
        </w:rPr>
        <w:t xml:space="preserve"> varlığı gösterilmiş olmakla birlikte </w:t>
      </w:r>
      <w:r w:rsidR="00C4004B">
        <w:rPr>
          <w:rFonts w:ascii="Times New Roman" w:eastAsia="Times New Roman" w:hAnsi="Times New Roman" w:cs="Times New Roman"/>
          <w:color w:val="000000"/>
          <w:sz w:val="24"/>
          <w:szCs w:val="24"/>
          <w:lang w:eastAsia="tr-TR"/>
        </w:rPr>
        <w:t xml:space="preserve">yaprak ekstreleri ile ilgili </w:t>
      </w:r>
      <w:r w:rsidRPr="00F77E79">
        <w:rPr>
          <w:rFonts w:ascii="Times New Roman" w:eastAsia="Times New Roman" w:hAnsi="Times New Roman" w:cs="Times New Roman"/>
          <w:color w:val="000000"/>
          <w:sz w:val="24"/>
          <w:szCs w:val="24"/>
          <w:lang w:eastAsia="tr-TR"/>
        </w:rPr>
        <w:t xml:space="preserve">detaylı </w:t>
      </w:r>
      <w:proofErr w:type="spellStart"/>
      <w:r w:rsidRPr="00F77E79">
        <w:rPr>
          <w:rFonts w:ascii="Times New Roman" w:eastAsia="Times New Roman" w:hAnsi="Times New Roman" w:cs="Times New Roman"/>
          <w:color w:val="000000"/>
          <w:sz w:val="24"/>
          <w:szCs w:val="24"/>
          <w:lang w:eastAsia="tr-TR"/>
        </w:rPr>
        <w:t>fitokimyasal</w:t>
      </w:r>
      <w:proofErr w:type="spellEnd"/>
      <w:r w:rsidRPr="00F77E79">
        <w:rPr>
          <w:rFonts w:ascii="Times New Roman" w:eastAsia="Times New Roman" w:hAnsi="Times New Roman" w:cs="Times New Roman"/>
          <w:color w:val="000000"/>
          <w:sz w:val="24"/>
          <w:szCs w:val="24"/>
          <w:lang w:eastAsia="tr-TR"/>
        </w:rPr>
        <w:t xml:space="preserve"> analize literatürde rastlanmamıştır (</w:t>
      </w:r>
      <w:proofErr w:type="spellStart"/>
      <w:r w:rsidRPr="00F77E79">
        <w:rPr>
          <w:rFonts w:ascii="Times New Roman" w:eastAsia="Times New Roman" w:hAnsi="Times New Roman" w:cs="Times New Roman"/>
          <w:color w:val="000000"/>
          <w:sz w:val="24"/>
          <w:szCs w:val="24"/>
          <w:lang w:eastAsia="tr-TR"/>
        </w:rPr>
        <w:t>Ashwini</w:t>
      </w:r>
      <w:proofErr w:type="spellEnd"/>
      <w:r w:rsidR="00CF4BF6">
        <w:rPr>
          <w:rFonts w:ascii="Times New Roman" w:eastAsia="Times New Roman" w:hAnsi="Times New Roman" w:cs="Times New Roman"/>
          <w:color w:val="000000"/>
          <w:sz w:val="24"/>
          <w:szCs w:val="24"/>
          <w:lang w:eastAsia="tr-TR"/>
        </w:rPr>
        <w:t>,</w:t>
      </w:r>
      <w:r w:rsidRPr="00F77E79">
        <w:rPr>
          <w:rFonts w:ascii="Times New Roman" w:eastAsia="Times New Roman" w:hAnsi="Times New Roman" w:cs="Times New Roman"/>
          <w:color w:val="000000"/>
          <w:sz w:val="24"/>
          <w:szCs w:val="24"/>
          <w:lang w:eastAsia="tr-TR"/>
        </w:rPr>
        <w:t xml:space="preserve"> 2023; </w:t>
      </w:r>
      <w:proofErr w:type="spellStart"/>
      <w:r w:rsidRPr="00F77E79">
        <w:rPr>
          <w:rFonts w:ascii="Times New Roman" w:eastAsia="Times New Roman" w:hAnsi="Times New Roman" w:cs="Times New Roman"/>
          <w:color w:val="000000"/>
          <w:sz w:val="24"/>
          <w:szCs w:val="24"/>
          <w:lang w:eastAsia="tr-TR"/>
        </w:rPr>
        <w:t>Kakurde</w:t>
      </w:r>
      <w:proofErr w:type="spellEnd"/>
      <w:r w:rsidR="00CF4BF6">
        <w:rPr>
          <w:rFonts w:ascii="Times New Roman" w:eastAsia="Times New Roman" w:hAnsi="Times New Roman" w:cs="Times New Roman"/>
          <w:color w:val="000000"/>
          <w:sz w:val="24"/>
          <w:szCs w:val="24"/>
          <w:lang w:eastAsia="tr-TR"/>
        </w:rPr>
        <w:t>,</w:t>
      </w:r>
      <w:r w:rsidRPr="00F77E79">
        <w:rPr>
          <w:rFonts w:ascii="Times New Roman" w:eastAsia="Times New Roman" w:hAnsi="Times New Roman" w:cs="Times New Roman"/>
          <w:color w:val="000000"/>
          <w:sz w:val="24"/>
          <w:szCs w:val="24"/>
          <w:lang w:eastAsia="tr-TR"/>
        </w:rPr>
        <w:t xml:space="preserve"> 2024). </w:t>
      </w:r>
    </w:p>
    <w:p w14:paraId="67FD34F2" w14:textId="77777777" w:rsidR="00FC6DFA" w:rsidRDefault="00F77E79" w:rsidP="00FC6DFA">
      <w:pPr>
        <w:spacing w:before="120" w:after="120" w:line="276" w:lineRule="auto"/>
        <w:ind w:left="285"/>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b/>
          <w:bCs/>
          <w:color w:val="000000"/>
          <w:sz w:val="24"/>
          <w:szCs w:val="24"/>
          <w:lang w:eastAsia="tr-TR"/>
        </w:rPr>
        <w:t>6.</w:t>
      </w:r>
      <w:r w:rsidR="00FC6DFA">
        <w:rPr>
          <w:rFonts w:ascii="Times New Roman" w:eastAsia="Times New Roman" w:hAnsi="Times New Roman" w:cs="Times New Roman"/>
          <w:b/>
          <w:bCs/>
          <w:color w:val="000000"/>
          <w:sz w:val="24"/>
          <w:szCs w:val="24"/>
          <w:lang w:eastAsia="tr-TR"/>
        </w:rPr>
        <w:t xml:space="preserve"> </w:t>
      </w:r>
      <w:r w:rsidRPr="00F77E79">
        <w:rPr>
          <w:rFonts w:ascii="Times New Roman" w:eastAsia="Times New Roman" w:hAnsi="Times New Roman" w:cs="Times New Roman"/>
          <w:b/>
          <w:bCs/>
          <w:color w:val="000000"/>
          <w:sz w:val="24"/>
          <w:szCs w:val="24"/>
          <w:lang w:eastAsia="tr-TR"/>
        </w:rPr>
        <w:t>Bitkinin Uçucu Yağının Etkileri ile İlgili Bilgiler</w:t>
      </w:r>
    </w:p>
    <w:p w14:paraId="4A839F1D" w14:textId="3351E64F" w:rsidR="00F77E79" w:rsidRPr="00F77E79" w:rsidRDefault="00F77E79" w:rsidP="00FC6DFA">
      <w:pPr>
        <w:spacing w:before="120" w:after="120" w:line="276" w:lineRule="auto"/>
        <w:ind w:firstLine="708"/>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b/>
          <w:bCs/>
          <w:i/>
          <w:iCs/>
          <w:color w:val="000000"/>
          <w:sz w:val="24"/>
          <w:szCs w:val="24"/>
          <w:lang w:eastAsia="tr-TR"/>
        </w:rPr>
        <w:t>6.1.</w:t>
      </w:r>
      <w:r w:rsidRPr="00F77E79">
        <w:rPr>
          <w:rFonts w:ascii="Times New Roman" w:eastAsia="Times New Roman" w:hAnsi="Times New Roman" w:cs="Times New Roman"/>
          <w:color w:val="000000"/>
          <w:sz w:val="24"/>
          <w:szCs w:val="24"/>
          <w:lang w:eastAsia="tr-TR"/>
        </w:rPr>
        <w:t xml:space="preserve">   </w:t>
      </w:r>
      <w:r w:rsidRPr="00F77E79">
        <w:rPr>
          <w:rFonts w:ascii="Times New Roman" w:eastAsia="Times New Roman" w:hAnsi="Times New Roman" w:cs="Times New Roman"/>
          <w:b/>
          <w:bCs/>
          <w:i/>
          <w:iCs/>
          <w:color w:val="000000"/>
          <w:sz w:val="24"/>
          <w:szCs w:val="24"/>
          <w:lang w:eastAsia="tr-TR"/>
        </w:rPr>
        <w:t>Antioksidan etki</w:t>
      </w:r>
    </w:p>
    <w:p w14:paraId="367BEB8F" w14:textId="3F6A3623" w:rsidR="00F77E79" w:rsidRPr="00F77E79" w:rsidRDefault="00F77E79" w:rsidP="009C516A">
      <w:pPr>
        <w:spacing w:before="120" w:after="120" w:line="276" w:lineRule="auto"/>
        <w:ind w:firstLine="72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DPPH radikali süpürücü ve nitrik oksit testlerinde IC</w:t>
      </w:r>
      <w:r w:rsidR="000026ED" w:rsidRPr="000026ED">
        <w:rPr>
          <w:rFonts w:ascii="Times New Roman" w:eastAsia="Times New Roman" w:hAnsi="Times New Roman" w:cs="Times New Roman"/>
          <w:color w:val="000000"/>
          <w:sz w:val="24"/>
          <w:szCs w:val="24"/>
          <w:vertAlign w:val="subscript"/>
          <w:lang w:eastAsia="tr-TR"/>
        </w:rPr>
        <w:t>50</w:t>
      </w:r>
      <w:r w:rsidRPr="00F77E79">
        <w:rPr>
          <w:rFonts w:ascii="Times New Roman" w:eastAsia="Times New Roman" w:hAnsi="Times New Roman" w:cs="Times New Roman"/>
          <w:color w:val="000000"/>
          <w:sz w:val="24"/>
          <w:szCs w:val="24"/>
          <w:lang w:eastAsia="tr-TR"/>
        </w:rPr>
        <w:t xml:space="preserve"> verileri sırasıyla 0,125 mg/</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ve 12,5 </w:t>
      </w:r>
      <w:proofErr w:type="spellStart"/>
      <w:r w:rsidRPr="00F77E79">
        <w:rPr>
          <w:rFonts w:ascii="Times New Roman" w:eastAsia="Times New Roman" w:hAnsi="Times New Roman" w:cs="Times New Roman"/>
          <w:color w:val="000000"/>
          <w:sz w:val="24"/>
          <w:szCs w:val="24"/>
          <w:lang w:eastAsia="tr-TR"/>
        </w:rPr>
        <w:t>μg</w:t>
      </w:r>
      <w:proofErr w:type="spellEnd"/>
      <w:r w:rsidRPr="00F77E79">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olarak belirlenmiştir. </w:t>
      </w:r>
      <w:r w:rsidRPr="00DE355C">
        <w:rPr>
          <w:rFonts w:ascii="Times New Roman" w:eastAsia="Times New Roman" w:hAnsi="Times New Roman" w:cs="Times New Roman"/>
          <w:i/>
          <w:iCs/>
          <w:color w:val="000000"/>
          <w:sz w:val="24"/>
          <w:szCs w:val="24"/>
          <w:lang w:eastAsia="tr-TR"/>
        </w:rPr>
        <w:t>Beta</w:t>
      </w:r>
      <w:r w:rsidR="000026ED">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karoten</w:t>
      </w:r>
      <w:proofErr w:type="spellEnd"/>
      <w:r w:rsidRPr="00F77E79">
        <w:rPr>
          <w:rFonts w:ascii="Times New Roman" w:eastAsia="Times New Roman" w:hAnsi="Times New Roman" w:cs="Times New Roman"/>
          <w:color w:val="000000"/>
          <w:sz w:val="24"/>
          <w:szCs w:val="24"/>
          <w:lang w:eastAsia="tr-TR"/>
        </w:rPr>
        <w:t xml:space="preserve"> renk giderme yönteminde, uçucu yağ birinci saatte %93,15 oranında bir </w:t>
      </w:r>
      <w:proofErr w:type="spellStart"/>
      <w:r w:rsidRPr="00F77E79">
        <w:rPr>
          <w:rFonts w:ascii="Times New Roman" w:eastAsia="Times New Roman" w:hAnsi="Times New Roman" w:cs="Times New Roman"/>
          <w:color w:val="000000"/>
          <w:sz w:val="24"/>
          <w:szCs w:val="24"/>
          <w:lang w:eastAsia="tr-TR"/>
        </w:rPr>
        <w:t>inhibisyon</w:t>
      </w:r>
      <w:proofErr w:type="spellEnd"/>
      <w:r w:rsidRPr="00F77E79">
        <w:rPr>
          <w:rFonts w:ascii="Times New Roman" w:eastAsia="Times New Roman" w:hAnsi="Times New Roman" w:cs="Times New Roman"/>
          <w:color w:val="000000"/>
          <w:sz w:val="24"/>
          <w:szCs w:val="24"/>
          <w:lang w:eastAsia="tr-TR"/>
        </w:rPr>
        <w:t xml:space="preserve"> göstermiş, ikinci saatte ise bu değer %51,1 olmuştur (</w:t>
      </w:r>
      <w:proofErr w:type="spellStart"/>
      <w:r w:rsidRPr="00F77E79">
        <w:rPr>
          <w:rFonts w:ascii="Times New Roman" w:eastAsia="Times New Roman" w:hAnsi="Times New Roman" w:cs="Times New Roman"/>
          <w:color w:val="000000"/>
          <w:sz w:val="24"/>
          <w:szCs w:val="24"/>
          <w:lang w:eastAsia="tr-TR"/>
        </w:rPr>
        <w:t>Lawrance</w:t>
      </w:r>
      <w:proofErr w:type="spellEnd"/>
      <w:r w:rsidRPr="00F77E79">
        <w:rPr>
          <w:rFonts w:ascii="Times New Roman" w:eastAsia="Times New Roman" w:hAnsi="Times New Roman" w:cs="Times New Roman"/>
          <w:color w:val="000000"/>
          <w:sz w:val="24"/>
          <w:szCs w:val="24"/>
          <w:lang w:eastAsia="tr-TR"/>
        </w:rPr>
        <w:t xml:space="preserve"> ve ark., 2012).  İki ayrı çalışmada DPPH serbest radikal süpürücü aktivite deneyinde IC</w:t>
      </w:r>
      <w:r w:rsidR="000026ED" w:rsidRPr="000026ED">
        <w:rPr>
          <w:rFonts w:ascii="Times New Roman" w:eastAsia="Times New Roman" w:hAnsi="Times New Roman" w:cs="Times New Roman"/>
          <w:color w:val="000000"/>
          <w:sz w:val="24"/>
          <w:szCs w:val="24"/>
          <w:vertAlign w:val="subscript"/>
          <w:lang w:eastAsia="tr-TR"/>
        </w:rPr>
        <w:t>50</w:t>
      </w:r>
      <w:r w:rsidR="000026ED">
        <w:rPr>
          <w:rFonts w:ascii="Times New Roman" w:eastAsia="Times New Roman" w:hAnsi="Times New Roman" w:cs="Times New Roman"/>
          <w:color w:val="000000"/>
          <w:sz w:val="24"/>
          <w:szCs w:val="24"/>
          <w:vertAlign w:val="subscript"/>
          <w:lang w:eastAsia="tr-TR"/>
        </w:rPr>
        <w:t xml:space="preserve"> </w:t>
      </w:r>
      <w:r w:rsidRPr="00F77E79">
        <w:rPr>
          <w:rFonts w:ascii="Times New Roman" w:eastAsia="Times New Roman" w:hAnsi="Times New Roman" w:cs="Times New Roman"/>
          <w:color w:val="000000"/>
          <w:sz w:val="24"/>
          <w:szCs w:val="24"/>
          <w:lang w:eastAsia="tr-TR"/>
        </w:rPr>
        <w:t>değerleri 0,34 ve 0,18 mg/</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olarak bulunmuştur (</w:t>
      </w:r>
      <w:proofErr w:type="spellStart"/>
      <w:r w:rsidRPr="00F77E79">
        <w:rPr>
          <w:rFonts w:ascii="Times New Roman" w:eastAsia="Times New Roman" w:hAnsi="Times New Roman" w:cs="Times New Roman"/>
          <w:color w:val="000000"/>
          <w:sz w:val="24"/>
          <w:szCs w:val="24"/>
          <w:lang w:eastAsia="tr-TR"/>
        </w:rPr>
        <w:t>Gacche</w:t>
      </w:r>
      <w:proofErr w:type="spellEnd"/>
      <w:r w:rsidRPr="00F77E79">
        <w:rPr>
          <w:rFonts w:ascii="Times New Roman" w:eastAsia="Times New Roman" w:hAnsi="Times New Roman" w:cs="Times New Roman"/>
          <w:color w:val="000000"/>
          <w:sz w:val="24"/>
          <w:szCs w:val="24"/>
          <w:lang w:eastAsia="tr-TR"/>
        </w:rPr>
        <w:t xml:space="preserve"> 2011, </w:t>
      </w:r>
      <w:proofErr w:type="spellStart"/>
      <w:r w:rsidRPr="00F77E79">
        <w:rPr>
          <w:rFonts w:ascii="Times New Roman" w:eastAsia="Times New Roman" w:hAnsi="Times New Roman" w:cs="Times New Roman"/>
          <w:color w:val="000000"/>
          <w:sz w:val="24"/>
          <w:szCs w:val="24"/>
          <w:lang w:eastAsia="tr-TR"/>
        </w:rPr>
        <w:t>Sinha</w:t>
      </w:r>
      <w:proofErr w:type="spellEnd"/>
      <w:r w:rsidRPr="00F77E79">
        <w:rPr>
          <w:rFonts w:ascii="Times New Roman" w:eastAsia="Times New Roman" w:hAnsi="Times New Roman" w:cs="Times New Roman"/>
          <w:color w:val="000000"/>
          <w:sz w:val="24"/>
          <w:szCs w:val="24"/>
          <w:lang w:eastAsia="tr-TR"/>
        </w:rPr>
        <w:t xml:space="preserve">, 2011). </w:t>
      </w:r>
      <w:proofErr w:type="spellStart"/>
      <w:r w:rsidRPr="00F77E79">
        <w:rPr>
          <w:rFonts w:ascii="Times New Roman" w:eastAsia="Times New Roman" w:hAnsi="Times New Roman" w:cs="Times New Roman"/>
          <w:color w:val="000000"/>
          <w:sz w:val="24"/>
          <w:szCs w:val="24"/>
          <w:lang w:eastAsia="tr-TR"/>
        </w:rPr>
        <w:t>Sinha</w:t>
      </w:r>
      <w:proofErr w:type="spellEnd"/>
      <w:r w:rsidRPr="00F77E79">
        <w:rPr>
          <w:rFonts w:ascii="Times New Roman" w:eastAsia="Times New Roman" w:hAnsi="Times New Roman" w:cs="Times New Roman"/>
          <w:color w:val="000000"/>
          <w:sz w:val="24"/>
          <w:szCs w:val="24"/>
          <w:lang w:eastAsia="tr-TR"/>
        </w:rPr>
        <w:t xml:space="preserve"> ve ark. (2011) ise çalışmasında </w:t>
      </w:r>
      <w:proofErr w:type="spellStart"/>
      <w:r w:rsidRPr="00F77E79">
        <w:rPr>
          <w:rFonts w:ascii="Times New Roman" w:eastAsia="Times New Roman" w:hAnsi="Times New Roman" w:cs="Times New Roman"/>
          <w:color w:val="000000"/>
          <w:sz w:val="24"/>
          <w:szCs w:val="24"/>
          <w:lang w:eastAsia="tr-TR"/>
        </w:rPr>
        <w:t>lipid</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peroksidasyonun</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inhibisyonu</w:t>
      </w:r>
      <w:proofErr w:type="spellEnd"/>
      <w:r w:rsidRPr="00F77E79">
        <w:rPr>
          <w:rFonts w:ascii="Times New Roman" w:eastAsia="Times New Roman" w:hAnsi="Times New Roman" w:cs="Times New Roman"/>
          <w:color w:val="000000"/>
          <w:sz w:val="24"/>
          <w:szCs w:val="24"/>
          <w:lang w:eastAsia="tr-TR"/>
        </w:rPr>
        <w:t xml:space="preserve"> (IC</w:t>
      </w:r>
      <w:r w:rsidRPr="000026ED">
        <w:rPr>
          <w:rFonts w:ascii="Times New Roman" w:eastAsia="Times New Roman" w:hAnsi="Times New Roman" w:cs="Times New Roman"/>
          <w:color w:val="000000"/>
          <w:sz w:val="24"/>
          <w:szCs w:val="24"/>
          <w:vertAlign w:val="subscript"/>
          <w:lang w:eastAsia="tr-TR"/>
        </w:rPr>
        <w:t>50</w:t>
      </w:r>
      <w:r w:rsidRPr="00F77E79">
        <w:rPr>
          <w:rFonts w:ascii="Times New Roman" w:eastAsia="Times New Roman" w:hAnsi="Times New Roman" w:cs="Times New Roman"/>
          <w:color w:val="000000"/>
          <w:sz w:val="24"/>
          <w:szCs w:val="24"/>
          <w:lang w:eastAsia="tr-TR"/>
        </w:rPr>
        <w:t xml:space="preserve">​) değeri 198,109 </w:t>
      </w:r>
      <w:proofErr w:type="spellStart"/>
      <w:r w:rsidRPr="00F77E79">
        <w:rPr>
          <w:rFonts w:ascii="Times New Roman" w:eastAsia="Times New Roman" w:hAnsi="Times New Roman" w:cs="Times New Roman"/>
          <w:color w:val="000000"/>
          <w:sz w:val="24"/>
          <w:szCs w:val="24"/>
          <w:lang w:eastAsia="tr-TR"/>
        </w:rPr>
        <w:t>μg</w:t>
      </w:r>
      <w:proofErr w:type="spellEnd"/>
      <w:r w:rsidRPr="00F77E79">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olarak belirlenmiştir. </w:t>
      </w:r>
      <w:proofErr w:type="spellStart"/>
      <w:r w:rsidRPr="00F77E79">
        <w:rPr>
          <w:rFonts w:ascii="Times New Roman" w:eastAsia="Times New Roman" w:hAnsi="Times New Roman" w:cs="Times New Roman"/>
          <w:color w:val="000000"/>
          <w:sz w:val="24"/>
          <w:szCs w:val="24"/>
          <w:lang w:eastAsia="tr-TR"/>
        </w:rPr>
        <w:t>Huang</w:t>
      </w:r>
      <w:proofErr w:type="spellEnd"/>
      <w:r w:rsidRPr="00F77E79">
        <w:rPr>
          <w:rFonts w:ascii="Times New Roman" w:eastAsia="Times New Roman" w:hAnsi="Times New Roman" w:cs="Times New Roman"/>
          <w:color w:val="000000"/>
          <w:sz w:val="24"/>
          <w:szCs w:val="24"/>
          <w:lang w:eastAsia="tr-TR"/>
        </w:rPr>
        <w:t xml:space="preserve"> ve ark. (2024) tarafından yapılan çalışmada </w:t>
      </w:r>
      <w:r w:rsidRPr="00F77E79">
        <w:rPr>
          <w:rFonts w:ascii="Times New Roman" w:eastAsia="Times New Roman" w:hAnsi="Times New Roman" w:cs="Times New Roman"/>
          <w:i/>
          <w:iCs/>
          <w:color w:val="000000"/>
          <w:sz w:val="24"/>
          <w:szCs w:val="24"/>
          <w:lang w:eastAsia="tr-TR"/>
        </w:rPr>
        <w:t xml:space="preserve">C. </w:t>
      </w:r>
      <w:proofErr w:type="spellStart"/>
      <w:r w:rsidRPr="00F77E79">
        <w:rPr>
          <w:rFonts w:ascii="Times New Roman" w:eastAsia="Times New Roman" w:hAnsi="Times New Roman" w:cs="Times New Roman"/>
          <w:i/>
          <w:iCs/>
          <w:color w:val="000000"/>
          <w:sz w:val="24"/>
          <w:szCs w:val="24"/>
          <w:lang w:eastAsia="tr-TR"/>
        </w:rPr>
        <w:t>albicans</w:t>
      </w:r>
      <w:proofErr w:type="spellEnd"/>
      <w:r w:rsidRPr="00F77E79">
        <w:rPr>
          <w:rFonts w:ascii="Times New Roman" w:eastAsia="Times New Roman" w:hAnsi="Times New Roman" w:cs="Times New Roman"/>
          <w:color w:val="000000"/>
          <w:sz w:val="24"/>
          <w:szCs w:val="24"/>
          <w:lang w:eastAsia="tr-TR"/>
        </w:rPr>
        <w:t xml:space="preserve"> enfeksiyonu ile düşmüş olan vücudun antioksidan enzim (</w:t>
      </w:r>
      <w:proofErr w:type="spellStart"/>
      <w:r w:rsidRPr="00F77E79">
        <w:rPr>
          <w:rFonts w:ascii="Times New Roman" w:eastAsia="Times New Roman" w:hAnsi="Times New Roman" w:cs="Times New Roman"/>
          <w:color w:val="000000"/>
          <w:sz w:val="24"/>
          <w:szCs w:val="24"/>
          <w:lang w:eastAsia="tr-TR"/>
        </w:rPr>
        <w:t>süperoksit</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dismutaz</w:t>
      </w:r>
      <w:proofErr w:type="spellEnd"/>
      <w:r w:rsidRPr="00F77E79">
        <w:rPr>
          <w:rFonts w:ascii="Times New Roman" w:eastAsia="Times New Roman" w:hAnsi="Times New Roman" w:cs="Times New Roman"/>
          <w:color w:val="000000"/>
          <w:sz w:val="24"/>
          <w:szCs w:val="24"/>
          <w:lang w:eastAsia="tr-TR"/>
        </w:rPr>
        <w:t xml:space="preserve"> ve </w:t>
      </w:r>
      <w:proofErr w:type="spellStart"/>
      <w:r w:rsidRPr="00F77E79">
        <w:rPr>
          <w:rFonts w:ascii="Times New Roman" w:eastAsia="Times New Roman" w:hAnsi="Times New Roman" w:cs="Times New Roman"/>
          <w:color w:val="000000"/>
          <w:sz w:val="24"/>
          <w:szCs w:val="24"/>
          <w:lang w:eastAsia="tr-TR"/>
        </w:rPr>
        <w:t>glutatyon</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peroksidaz</w:t>
      </w:r>
      <w:proofErr w:type="spellEnd"/>
      <w:r w:rsidRPr="00F77E79">
        <w:rPr>
          <w:rFonts w:ascii="Times New Roman" w:eastAsia="Times New Roman" w:hAnsi="Times New Roman" w:cs="Times New Roman"/>
          <w:color w:val="000000"/>
          <w:sz w:val="24"/>
          <w:szCs w:val="24"/>
          <w:lang w:eastAsia="tr-TR"/>
        </w:rPr>
        <w:t>, SOD ve GSH-</w:t>
      </w:r>
      <w:proofErr w:type="spellStart"/>
      <w:r w:rsidRPr="00F77E79">
        <w:rPr>
          <w:rFonts w:ascii="Times New Roman" w:eastAsia="Times New Roman" w:hAnsi="Times New Roman" w:cs="Times New Roman"/>
          <w:color w:val="000000"/>
          <w:sz w:val="24"/>
          <w:szCs w:val="24"/>
          <w:lang w:eastAsia="tr-TR"/>
        </w:rPr>
        <w:t>Px</w:t>
      </w:r>
      <w:proofErr w:type="spellEnd"/>
      <w:r w:rsidRPr="00F77E79">
        <w:rPr>
          <w:rFonts w:ascii="Times New Roman" w:eastAsia="Times New Roman" w:hAnsi="Times New Roman" w:cs="Times New Roman"/>
          <w:color w:val="000000"/>
          <w:sz w:val="24"/>
          <w:szCs w:val="24"/>
          <w:lang w:eastAsia="tr-TR"/>
        </w:rPr>
        <w:t xml:space="preserve">) seviyelerinde, </w:t>
      </w:r>
      <w:r w:rsidRPr="00F77E79">
        <w:rPr>
          <w:rFonts w:ascii="Times New Roman" w:eastAsia="Times New Roman" w:hAnsi="Times New Roman" w:cs="Times New Roman"/>
          <w:i/>
          <w:iCs/>
          <w:color w:val="000000"/>
          <w:sz w:val="24"/>
          <w:szCs w:val="24"/>
          <w:lang w:eastAsia="tr-TR"/>
        </w:rPr>
        <w:t>C. martini</w:t>
      </w:r>
      <w:r w:rsidRPr="00F77E79">
        <w:rPr>
          <w:rFonts w:ascii="Times New Roman" w:eastAsia="Times New Roman" w:hAnsi="Times New Roman" w:cs="Times New Roman"/>
          <w:color w:val="000000"/>
          <w:sz w:val="24"/>
          <w:szCs w:val="24"/>
          <w:lang w:eastAsia="tr-TR"/>
        </w:rPr>
        <w:t xml:space="preserve"> uçucu yağının %2’lik konsantrasyonda istatistiksel olarak anlamlı (</w:t>
      </w:r>
      <w:r w:rsidRPr="00F77E79">
        <w:rPr>
          <w:rFonts w:ascii="Times New Roman" w:eastAsia="Times New Roman" w:hAnsi="Times New Roman" w:cs="Times New Roman"/>
          <w:i/>
          <w:iCs/>
          <w:color w:val="000000"/>
          <w:sz w:val="24"/>
          <w:szCs w:val="24"/>
          <w:lang w:eastAsia="tr-TR"/>
        </w:rPr>
        <w:t>p</w:t>
      </w:r>
      <w:r w:rsidRPr="00F77E79">
        <w:rPr>
          <w:rFonts w:ascii="Times New Roman" w:eastAsia="Times New Roman" w:hAnsi="Times New Roman" w:cs="Times New Roman"/>
          <w:color w:val="000000"/>
          <w:sz w:val="24"/>
          <w:szCs w:val="24"/>
          <w:lang w:eastAsia="tr-TR"/>
        </w:rPr>
        <w:t xml:space="preserve"> </w:t>
      </w:r>
      <w:r w:rsidR="000026ED" w:rsidRPr="00F77E79">
        <w:rPr>
          <w:rFonts w:ascii="Times New Roman" w:eastAsia="Times New Roman" w:hAnsi="Times New Roman" w:cs="Times New Roman"/>
          <w:color w:val="000000"/>
          <w:sz w:val="24"/>
          <w:szCs w:val="24"/>
          <w:lang w:eastAsia="tr-TR"/>
        </w:rPr>
        <w:t>&lt;0</w:t>
      </w:r>
      <w:r w:rsidRPr="00F77E79">
        <w:rPr>
          <w:rFonts w:ascii="Times New Roman" w:eastAsia="Times New Roman" w:hAnsi="Times New Roman" w:cs="Times New Roman"/>
          <w:color w:val="000000"/>
          <w:sz w:val="24"/>
          <w:szCs w:val="24"/>
          <w:lang w:eastAsia="tr-TR"/>
        </w:rPr>
        <w:t xml:space="preserve">,05) bir artış sağladığı bildirilmiştir. 100 ve 1000 </w:t>
      </w:r>
      <w:proofErr w:type="spellStart"/>
      <w:r w:rsidRPr="00F77E79">
        <w:rPr>
          <w:rFonts w:ascii="Times New Roman" w:eastAsia="Times New Roman" w:hAnsi="Times New Roman" w:cs="Times New Roman"/>
          <w:color w:val="000000"/>
          <w:sz w:val="24"/>
          <w:szCs w:val="24"/>
          <w:lang w:eastAsia="tr-TR"/>
        </w:rPr>
        <w:t>μg</w:t>
      </w:r>
      <w:proofErr w:type="spellEnd"/>
      <w:r w:rsidRPr="00F77E79">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konsantrasyonlarda </w:t>
      </w:r>
      <w:proofErr w:type="spellStart"/>
      <w:r w:rsidRPr="00F77E79">
        <w:rPr>
          <w:rFonts w:ascii="Times New Roman" w:eastAsia="Times New Roman" w:hAnsi="Times New Roman" w:cs="Times New Roman"/>
          <w:color w:val="000000"/>
          <w:sz w:val="24"/>
          <w:szCs w:val="24"/>
          <w:lang w:eastAsia="tr-TR"/>
        </w:rPr>
        <w:t>palmaro</w:t>
      </w:r>
      <w:r w:rsidR="000026ED">
        <w:rPr>
          <w:rFonts w:ascii="Times New Roman" w:eastAsia="Times New Roman" w:hAnsi="Times New Roman" w:cs="Times New Roman"/>
          <w:color w:val="000000"/>
          <w:sz w:val="24"/>
          <w:szCs w:val="24"/>
          <w:lang w:eastAsia="tr-TR"/>
        </w:rPr>
        <w:t>z</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uçucu yağının DPPH radikalini süpürme kapasitesinin sırasıyla %70,7 ve 88,3 olduğu, standart olarak kullanılan </w:t>
      </w:r>
      <w:proofErr w:type="spellStart"/>
      <w:r w:rsidRPr="00F77E79">
        <w:rPr>
          <w:rFonts w:ascii="Times New Roman" w:eastAsia="Times New Roman" w:hAnsi="Times New Roman" w:cs="Times New Roman"/>
          <w:color w:val="000000"/>
          <w:sz w:val="24"/>
          <w:szCs w:val="24"/>
          <w:lang w:eastAsia="tr-TR"/>
        </w:rPr>
        <w:t>askorbik</w:t>
      </w:r>
      <w:proofErr w:type="spellEnd"/>
      <w:r w:rsidRPr="00F77E79">
        <w:rPr>
          <w:rFonts w:ascii="Times New Roman" w:eastAsia="Times New Roman" w:hAnsi="Times New Roman" w:cs="Times New Roman"/>
          <w:color w:val="000000"/>
          <w:sz w:val="24"/>
          <w:szCs w:val="24"/>
          <w:lang w:eastAsia="tr-TR"/>
        </w:rPr>
        <w:t xml:space="preserve"> asidin 1000 </w:t>
      </w:r>
      <w:proofErr w:type="spellStart"/>
      <w:r w:rsidRPr="00F77E79">
        <w:rPr>
          <w:rFonts w:ascii="Times New Roman" w:eastAsia="Times New Roman" w:hAnsi="Times New Roman" w:cs="Times New Roman"/>
          <w:color w:val="000000"/>
          <w:sz w:val="24"/>
          <w:szCs w:val="24"/>
          <w:lang w:eastAsia="tr-TR"/>
        </w:rPr>
        <w:t>μg</w:t>
      </w:r>
      <w:proofErr w:type="spellEnd"/>
      <w:r w:rsidRPr="00F77E79">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mL’de</w:t>
      </w:r>
      <w:proofErr w:type="spellEnd"/>
      <w:r w:rsidRPr="00F77E79">
        <w:rPr>
          <w:rFonts w:ascii="Times New Roman" w:eastAsia="Times New Roman" w:hAnsi="Times New Roman" w:cs="Times New Roman"/>
          <w:color w:val="000000"/>
          <w:sz w:val="24"/>
          <w:szCs w:val="24"/>
          <w:lang w:eastAsia="tr-TR"/>
        </w:rPr>
        <w:t xml:space="preserve"> ise %98,98 aktiviteye sahip olduğu rapor edilmiştir (</w:t>
      </w:r>
      <w:proofErr w:type="spellStart"/>
      <w:r w:rsidRPr="00F77E79">
        <w:rPr>
          <w:rFonts w:ascii="Times New Roman" w:eastAsia="Times New Roman" w:hAnsi="Times New Roman" w:cs="Times New Roman"/>
          <w:color w:val="000000"/>
          <w:sz w:val="24"/>
          <w:szCs w:val="24"/>
          <w:lang w:eastAsia="tr-TR"/>
        </w:rPr>
        <w:t>Jha</w:t>
      </w:r>
      <w:proofErr w:type="spellEnd"/>
      <w:r w:rsidRPr="00F77E79">
        <w:rPr>
          <w:rFonts w:ascii="Times New Roman" w:eastAsia="Times New Roman" w:hAnsi="Times New Roman" w:cs="Times New Roman"/>
          <w:color w:val="000000"/>
          <w:sz w:val="24"/>
          <w:szCs w:val="24"/>
          <w:lang w:eastAsia="tr-TR"/>
        </w:rPr>
        <w:t xml:space="preserve"> ve ark</w:t>
      </w:r>
      <w:r w:rsidR="00CF4BF6">
        <w:rPr>
          <w:rFonts w:ascii="Times New Roman" w:eastAsia="Times New Roman" w:hAnsi="Times New Roman" w:cs="Times New Roman"/>
          <w:color w:val="000000"/>
          <w:sz w:val="24"/>
          <w:szCs w:val="24"/>
          <w:lang w:eastAsia="tr-TR"/>
        </w:rPr>
        <w:t>.</w:t>
      </w:r>
      <w:r w:rsidRPr="00F77E79">
        <w:rPr>
          <w:rFonts w:ascii="Times New Roman" w:eastAsia="Times New Roman" w:hAnsi="Times New Roman" w:cs="Times New Roman"/>
          <w:color w:val="000000"/>
          <w:sz w:val="24"/>
          <w:szCs w:val="24"/>
          <w:lang w:eastAsia="tr-TR"/>
        </w:rPr>
        <w:t>, 2022). </w:t>
      </w:r>
    </w:p>
    <w:p w14:paraId="25E7E593" w14:textId="14106183" w:rsidR="00F77E79" w:rsidRPr="00F77E79" w:rsidRDefault="00F77E79" w:rsidP="00FC6DFA">
      <w:pPr>
        <w:spacing w:before="120" w:after="120" w:line="276" w:lineRule="auto"/>
        <w:ind w:firstLine="709"/>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b/>
          <w:bCs/>
          <w:i/>
          <w:iCs/>
          <w:color w:val="000000"/>
          <w:sz w:val="24"/>
          <w:szCs w:val="24"/>
          <w:lang w:eastAsia="tr-TR"/>
        </w:rPr>
        <w:t>6.2.</w:t>
      </w:r>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b/>
          <w:bCs/>
          <w:i/>
          <w:iCs/>
          <w:color w:val="000000"/>
          <w:sz w:val="24"/>
          <w:szCs w:val="24"/>
          <w:lang w:eastAsia="tr-TR"/>
        </w:rPr>
        <w:t>Antimikrobiyal</w:t>
      </w:r>
      <w:proofErr w:type="spellEnd"/>
      <w:r w:rsidRPr="00F77E79">
        <w:rPr>
          <w:rFonts w:ascii="Times New Roman" w:eastAsia="Times New Roman" w:hAnsi="Times New Roman" w:cs="Times New Roman"/>
          <w:b/>
          <w:bCs/>
          <w:i/>
          <w:iCs/>
          <w:color w:val="000000"/>
          <w:sz w:val="24"/>
          <w:szCs w:val="24"/>
          <w:lang w:eastAsia="tr-TR"/>
        </w:rPr>
        <w:t xml:space="preserve"> etki</w:t>
      </w:r>
    </w:p>
    <w:p w14:paraId="4C5EFBEA" w14:textId="02744AE7" w:rsidR="00F77E79" w:rsidRPr="00F77E79" w:rsidRDefault="00F77E79" w:rsidP="009C516A">
      <w:pPr>
        <w:spacing w:before="120" w:after="120" w:line="276" w:lineRule="auto"/>
        <w:ind w:firstLine="72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%83 oranında </w:t>
      </w:r>
      <w:proofErr w:type="spellStart"/>
      <w:r w:rsidRPr="00F77E79">
        <w:rPr>
          <w:rFonts w:ascii="Times New Roman" w:eastAsia="Times New Roman" w:hAnsi="Times New Roman" w:cs="Times New Roman"/>
          <w:color w:val="000000"/>
          <w:sz w:val="24"/>
          <w:szCs w:val="24"/>
          <w:lang w:eastAsia="tr-TR"/>
        </w:rPr>
        <w:t>geraniol</w:t>
      </w:r>
      <w:proofErr w:type="spellEnd"/>
      <w:r w:rsidRPr="00F77E79">
        <w:rPr>
          <w:rFonts w:ascii="Times New Roman" w:eastAsia="Times New Roman" w:hAnsi="Times New Roman" w:cs="Times New Roman"/>
          <w:color w:val="000000"/>
          <w:sz w:val="24"/>
          <w:szCs w:val="24"/>
          <w:lang w:eastAsia="tr-TR"/>
        </w:rPr>
        <w:t xml:space="preserve"> ve %7 oranında </w:t>
      </w:r>
      <w:proofErr w:type="spellStart"/>
      <w:r w:rsidRPr="00F77E79">
        <w:rPr>
          <w:rFonts w:ascii="Times New Roman" w:eastAsia="Times New Roman" w:hAnsi="Times New Roman" w:cs="Times New Roman"/>
          <w:color w:val="000000"/>
          <w:sz w:val="24"/>
          <w:szCs w:val="24"/>
          <w:lang w:eastAsia="tr-TR"/>
        </w:rPr>
        <w:t>geranil</w:t>
      </w:r>
      <w:proofErr w:type="spellEnd"/>
      <w:r w:rsidRPr="00F77E79">
        <w:rPr>
          <w:rFonts w:ascii="Times New Roman" w:eastAsia="Times New Roman" w:hAnsi="Times New Roman" w:cs="Times New Roman"/>
          <w:color w:val="000000"/>
          <w:sz w:val="24"/>
          <w:szCs w:val="24"/>
          <w:lang w:eastAsia="tr-TR"/>
        </w:rPr>
        <w:t xml:space="preserve"> asetat taşıyan </w:t>
      </w:r>
      <w:proofErr w:type="spellStart"/>
      <w:r w:rsidRPr="00F77E79">
        <w:rPr>
          <w:rFonts w:ascii="Times New Roman" w:eastAsia="Times New Roman" w:hAnsi="Times New Roman" w:cs="Times New Roman"/>
          <w:color w:val="000000"/>
          <w:sz w:val="24"/>
          <w:szCs w:val="24"/>
          <w:lang w:eastAsia="tr-TR"/>
        </w:rPr>
        <w:t>palmaro</w:t>
      </w:r>
      <w:r w:rsidR="000026ED">
        <w:rPr>
          <w:rFonts w:ascii="Times New Roman" w:eastAsia="Times New Roman" w:hAnsi="Times New Roman" w:cs="Times New Roman"/>
          <w:color w:val="000000"/>
          <w:sz w:val="24"/>
          <w:szCs w:val="24"/>
          <w:lang w:eastAsia="tr-TR"/>
        </w:rPr>
        <w:t>z</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uçucu yağı Gram (+) bakteriler için (</w:t>
      </w:r>
      <w:proofErr w:type="spellStart"/>
      <w:r w:rsidRPr="00F77E79">
        <w:rPr>
          <w:rFonts w:ascii="Times New Roman" w:eastAsia="Times New Roman" w:hAnsi="Times New Roman" w:cs="Times New Roman"/>
          <w:i/>
          <w:iCs/>
          <w:color w:val="000000"/>
          <w:sz w:val="24"/>
          <w:szCs w:val="24"/>
          <w:lang w:eastAsia="tr-TR"/>
        </w:rPr>
        <w:t>Streptococcus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agalactiae</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Streptococcus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anginosus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Staphylococcus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aureus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Staphylococcus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lugdunensis</w:t>
      </w:r>
      <w:proofErr w:type="spellEnd"/>
      <w:r w:rsidRPr="00F77E79">
        <w:rPr>
          <w:rFonts w:ascii="Times New Roman" w:eastAsia="Times New Roman" w:hAnsi="Times New Roman" w:cs="Times New Roman"/>
          <w:color w:val="000000"/>
          <w:sz w:val="24"/>
          <w:szCs w:val="24"/>
          <w:lang w:eastAsia="tr-TR"/>
        </w:rPr>
        <w:t>) 125 ile 300 µg/</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arasında değişen MİK (Minimum İnhibitör Konsantrasyonu) değerleri ve 250 ile 500 µg/</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arasında değişen MBK (Minimum </w:t>
      </w:r>
      <w:proofErr w:type="spellStart"/>
      <w:r w:rsidRPr="00F77E79">
        <w:rPr>
          <w:rFonts w:ascii="Times New Roman" w:eastAsia="Times New Roman" w:hAnsi="Times New Roman" w:cs="Times New Roman"/>
          <w:color w:val="000000"/>
          <w:sz w:val="24"/>
          <w:szCs w:val="24"/>
          <w:lang w:eastAsia="tr-TR"/>
        </w:rPr>
        <w:t>Bakterisidal</w:t>
      </w:r>
      <w:proofErr w:type="spellEnd"/>
      <w:r w:rsidRPr="00F77E79">
        <w:rPr>
          <w:rFonts w:ascii="Times New Roman" w:eastAsia="Times New Roman" w:hAnsi="Times New Roman" w:cs="Times New Roman"/>
          <w:color w:val="000000"/>
          <w:sz w:val="24"/>
          <w:szCs w:val="24"/>
          <w:lang w:eastAsia="tr-TR"/>
        </w:rPr>
        <w:t xml:space="preserve"> Konsantrasyonu) değerleri sergilemiştir. Çalışmada kullanılan Gram (–) bakterilere karşı ise (</w:t>
      </w:r>
      <w:proofErr w:type="spellStart"/>
      <w:r w:rsidRPr="00F77E79">
        <w:rPr>
          <w:rFonts w:ascii="Times New Roman" w:eastAsia="Times New Roman" w:hAnsi="Times New Roman" w:cs="Times New Roman"/>
          <w:i/>
          <w:iCs/>
          <w:color w:val="000000"/>
          <w:sz w:val="24"/>
          <w:szCs w:val="24"/>
          <w:lang w:eastAsia="tr-TR"/>
        </w:rPr>
        <w:t>Moraxella</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catarrhalis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Serratia</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marcescens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Escherichia</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coli</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Klebsiella</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oxytoca</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palmaro</w:t>
      </w:r>
      <w:r w:rsidR="000026ED">
        <w:rPr>
          <w:rFonts w:ascii="Times New Roman" w:eastAsia="Times New Roman" w:hAnsi="Times New Roman" w:cs="Times New Roman"/>
          <w:color w:val="000000"/>
          <w:sz w:val="24"/>
          <w:szCs w:val="24"/>
          <w:lang w:eastAsia="tr-TR"/>
        </w:rPr>
        <w:t>z</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uçucu yağı, 250 ile 450 µg/</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arasında değişen MİK ve 250 ile 500 µg/</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arasında değişen MBK değerleri ile </w:t>
      </w:r>
      <w:proofErr w:type="spellStart"/>
      <w:r w:rsidRPr="00F77E79">
        <w:rPr>
          <w:rFonts w:ascii="Times New Roman" w:eastAsia="Times New Roman" w:hAnsi="Times New Roman" w:cs="Times New Roman"/>
          <w:color w:val="000000"/>
          <w:sz w:val="24"/>
          <w:szCs w:val="24"/>
          <w:lang w:eastAsia="tr-TR"/>
        </w:rPr>
        <w:t>inhibisyon</w:t>
      </w:r>
      <w:proofErr w:type="spellEnd"/>
      <w:r w:rsidRPr="00F77E79">
        <w:rPr>
          <w:rFonts w:ascii="Times New Roman" w:eastAsia="Times New Roman" w:hAnsi="Times New Roman" w:cs="Times New Roman"/>
          <w:color w:val="000000"/>
          <w:sz w:val="24"/>
          <w:szCs w:val="24"/>
          <w:lang w:eastAsia="tr-TR"/>
        </w:rPr>
        <w:t xml:space="preserve"> göstermiştir. </w:t>
      </w:r>
      <w:proofErr w:type="spellStart"/>
      <w:r w:rsidRPr="00F77E79">
        <w:rPr>
          <w:rFonts w:ascii="Times New Roman" w:eastAsia="Times New Roman" w:hAnsi="Times New Roman" w:cs="Times New Roman"/>
          <w:i/>
          <w:iCs/>
          <w:color w:val="000000"/>
          <w:sz w:val="24"/>
          <w:szCs w:val="24"/>
          <w:lang w:eastAsia="tr-TR"/>
        </w:rPr>
        <w:t>Pseudomonas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aeruginosa</w:t>
      </w:r>
      <w:r w:rsidRPr="00F77E79">
        <w:rPr>
          <w:rFonts w:ascii="Times New Roman" w:eastAsia="Times New Roman" w:hAnsi="Times New Roman" w:cs="Times New Roman"/>
          <w:color w:val="000000"/>
          <w:sz w:val="24"/>
          <w:szCs w:val="24"/>
          <w:lang w:eastAsia="tr-TR"/>
        </w:rPr>
        <w:t>’ya</w:t>
      </w:r>
      <w:proofErr w:type="spellEnd"/>
      <w:r w:rsidRPr="00F77E79">
        <w:rPr>
          <w:rFonts w:ascii="Times New Roman" w:eastAsia="Times New Roman" w:hAnsi="Times New Roman" w:cs="Times New Roman"/>
          <w:color w:val="000000"/>
          <w:sz w:val="24"/>
          <w:szCs w:val="24"/>
          <w:lang w:eastAsia="tr-TR"/>
        </w:rPr>
        <w:t xml:space="preserve"> karşı denenen konsantrasyonlarda etki görülmemiştir. Tüm sonuçlara bakıldığında uçucu yağın orta derecede </w:t>
      </w:r>
      <w:proofErr w:type="spellStart"/>
      <w:r w:rsidRPr="00F77E79">
        <w:rPr>
          <w:rFonts w:ascii="Times New Roman" w:eastAsia="Times New Roman" w:hAnsi="Times New Roman" w:cs="Times New Roman"/>
          <w:color w:val="000000"/>
          <w:sz w:val="24"/>
          <w:szCs w:val="24"/>
          <w:lang w:eastAsia="tr-TR"/>
        </w:rPr>
        <w:t>antimikrobiyal</w:t>
      </w:r>
      <w:proofErr w:type="spellEnd"/>
      <w:r w:rsidRPr="00F77E79">
        <w:rPr>
          <w:rFonts w:ascii="Times New Roman" w:eastAsia="Times New Roman" w:hAnsi="Times New Roman" w:cs="Times New Roman"/>
          <w:color w:val="000000"/>
          <w:sz w:val="24"/>
          <w:szCs w:val="24"/>
          <w:lang w:eastAsia="tr-TR"/>
        </w:rPr>
        <w:t xml:space="preserve"> etkinlikte olup, ana bileşiği </w:t>
      </w:r>
      <w:proofErr w:type="spellStart"/>
      <w:r w:rsidRPr="00F77E79">
        <w:rPr>
          <w:rFonts w:ascii="Times New Roman" w:eastAsia="Times New Roman" w:hAnsi="Times New Roman" w:cs="Times New Roman"/>
          <w:color w:val="000000"/>
          <w:sz w:val="24"/>
          <w:szCs w:val="24"/>
          <w:lang w:eastAsia="tr-TR"/>
        </w:rPr>
        <w:t>geraniolden</w:t>
      </w:r>
      <w:proofErr w:type="spellEnd"/>
      <w:r w:rsidRPr="00F77E79">
        <w:rPr>
          <w:rFonts w:ascii="Times New Roman" w:eastAsia="Times New Roman" w:hAnsi="Times New Roman" w:cs="Times New Roman"/>
          <w:color w:val="000000"/>
          <w:sz w:val="24"/>
          <w:szCs w:val="24"/>
          <w:lang w:eastAsia="tr-TR"/>
        </w:rPr>
        <w:t xml:space="preserve"> daha üstün </w:t>
      </w:r>
      <w:proofErr w:type="spellStart"/>
      <w:r w:rsidRPr="00F77E79">
        <w:rPr>
          <w:rFonts w:ascii="Times New Roman" w:eastAsia="Times New Roman" w:hAnsi="Times New Roman" w:cs="Times New Roman"/>
          <w:color w:val="000000"/>
          <w:sz w:val="24"/>
          <w:szCs w:val="24"/>
          <w:lang w:eastAsia="tr-TR"/>
        </w:rPr>
        <w:t>antimikrobiyal</w:t>
      </w:r>
      <w:proofErr w:type="spellEnd"/>
      <w:r w:rsidRPr="00F77E79">
        <w:rPr>
          <w:rFonts w:ascii="Times New Roman" w:eastAsia="Times New Roman" w:hAnsi="Times New Roman" w:cs="Times New Roman"/>
          <w:color w:val="000000"/>
          <w:sz w:val="24"/>
          <w:szCs w:val="24"/>
          <w:lang w:eastAsia="tr-TR"/>
        </w:rPr>
        <w:t xml:space="preserve"> aktivite gösterdiği rapor edilmiştir (</w:t>
      </w:r>
      <w:proofErr w:type="spellStart"/>
      <w:r w:rsidRPr="00F77E79">
        <w:rPr>
          <w:rFonts w:ascii="Times New Roman" w:eastAsia="Times New Roman" w:hAnsi="Times New Roman" w:cs="Times New Roman"/>
          <w:color w:val="000000"/>
          <w:sz w:val="24"/>
          <w:szCs w:val="24"/>
          <w:lang w:eastAsia="tr-TR"/>
        </w:rPr>
        <w:t>Cebollada</w:t>
      </w:r>
      <w:proofErr w:type="spellEnd"/>
      <w:r w:rsidR="00841952">
        <w:rPr>
          <w:rFonts w:ascii="Times New Roman" w:eastAsia="Times New Roman" w:hAnsi="Times New Roman" w:cs="Times New Roman"/>
          <w:color w:val="000000"/>
          <w:sz w:val="24"/>
          <w:szCs w:val="24"/>
          <w:lang w:eastAsia="tr-TR"/>
        </w:rPr>
        <w:t xml:space="preserve"> ve ark.</w:t>
      </w:r>
      <w:r w:rsidRPr="00F77E79">
        <w:rPr>
          <w:rFonts w:ascii="Times New Roman" w:eastAsia="Times New Roman" w:hAnsi="Times New Roman" w:cs="Times New Roman"/>
          <w:color w:val="000000"/>
          <w:sz w:val="24"/>
          <w:szCs w:val="24"/>
          <w:lang w:eastAsia="tr-TR"/>
        </w:rPr>
        <w:t>, 2026). </w:t>
      </w:r>
    </w:p>
    <w:p w14:paraId="72F30CBB" w14:textId="7F70794B" w:rsidR="00F77E79" w:rsidRPr="00F77E79" w:rsidRDefault="00F77E79" w:rsidP="009C516A">
      <w:pPr>
        <w:spacing w:before="120" w:after="120" w:line="276" w:lineRule="auto"/>
        <w:ind w:firstLine="72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Bir başka çalışmada </w:t>
      </w:r>
      <w:proofErr w:type="spellStart"/>
      <w:r w:rsidRPr="00F77E79">
        <w:rPr>
          <w:rFonts w:ascii="Times New Roman" w:eastAsia="Times New Roman" w:hAnsi="Times New Roman" w:cs="Times New Roman"/>
          <w:color w:val="000000"/>
          <w:sz w:val="24"/>
          <w:szCs w:val="24"/>
          <w:lang w:eastAsia="tr-TR"/>
        </w:rPr>
        <w:t>nanoemülsiyon</w:t>
      </w:r>
      <w:proofErr w:type="spellEnd"/>
      <w:r w:rsidRPr="00F77E79">
        <w:rPr>
          <w:rFonts w:ascii="Times New Roman" w:eastAsia="Times New Roman" w:hAnsi="Times New Roman" w:cs="Times New Roman"/>
          <w:color w:val="000000"/>
          <w:sz w:val="24"/>
          <w:szCs w:val="24"/>
          <w:lang w:eastAsia="tr-TR"/>
        </w:rPr>
        <w:t xml:space="preserve"> hale getirilmiş </w:t>
      </w:r>
      <w:proofErr w:type="spellStart"/>
      <w:r w:rsidRPr="00F77E79">
        <w:rPr>
          <w:rFonts w:ascii="Times New Roman" w:eastAsia="Times New Roman" w:hAnsi="Times New Roman" w:cs="Times New Roman"/>
          <w:color w:val="000000"/>
          <w:sz w:val="24"/>
          <w:szCs w:val="24"/>
          <w:lang w:eastAsia="tr-TR"/>
        </w:rPr>
        <w:t>palmaro</w:t>
      </w:r>
      <w:r w:rsidR="000026ED">
        <w:rPr>
          <w:rFonts w:ascii="Times New Roman" w:eastAsia="Times New Roman" w:hAnsi="Times New Roman" w:cs="Times New Roman"/>
          <w:color w:val="000000"/>
          <w:sz w:val="24"/>
          <w:szCs w:val="24"/>
          <w:lang w:eastAsia="tr-TR"/>
        </w:rPr>
        <w:t>z</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uçucu yağının (%46 </w:t>
      </w:r>
      <w:proofErr w:type="spellStart"/>
      <w:r w:rsidRPr="00F77E79">
        <w:rPr>
          <w:rFonts w:ascii="Times New Roman" w:eastAsia="Times New Roman" w:hAnsi="Times New Roman" w:cs="Times New Roman"/>
          <w:color w:val="000000"/>
          <w:sz w:val="24"/>
          <w:szCs w:val="24"/>
          <w:lang w:eastAsia="tr-TR"/>
        </w:rPr>
        <w:t>geraniol</w:t>
      </w:r>
      <w:proofErr w:type="spellEnd"/>
      <w:r w:rsidRPr="00F77E79">
        <w:rPr>
          <w:rFonts w:ascii="Times New Roman" w:eastAsia="Times New Roman" w:hAnsi="Times New Roman" w:cs="Times New Roman"/>
          <w:color w:val="000000"/>
          <w:sz w:val="24"/>
          <w:szCs w:val="24"/>
          <w:lang w:eastAsia="tr-TR"/>
        </w:rPr>
        <w:t xml:space="preserve">, %17 </w:t>
      </w:r>
      <w:proofErr w:type="spellStart"/>
      <w:r w:rsidRPr="00F77E79">
        <w:rPr>
          <w:rFonts w:ascii="Times New Roman" w:eastAsia="Times New Roman" w:hAnsi="Times New Roman" w:cs="Times New Roman"/>
          <w:color w:val="000000"/>
          <w:sz w:val="24"/>
          <w:szCs w:val="24"/>
          <w:lang w:eastAsia="tr-TR"/>
        </w:rPr>
        <w:t>geranial</w:t>
      </w:r>
      <w:proofErr w:type="spellEnd"/>
      <w:r w:rsidRPr="00F77E79">
        <w:rPr>
          <w:rFonts w:ascii="Times New Roman" w:eastAsia="Times New Roman" w:hAnsi="Times New Roman" w:cs="Times New Roman"/>
          <w:color w:val="000000"/>
          <w:sz w:val="24"/>
          <w:szCs w:val="24"/>
          <w:lang w:eastAsia="tr-TR"/>
        </w:rPr>
        <w:t xml:space="preserve">) serbest haline göre daha etkili olduğu 150 µL ve 200 µL hacimlerde uygulandığında sırasıyla </w:t>
      </w:r>
      <w:proofErr w:type="spellStart"/>
      <w:r w:rsidRPr="00F77E79">
        <w:rPr>
          <w:rFonts w:ascii="Times New Roman" w:eastAsia="Times New Roman" w:hAnsi="Times New Roman" w:cs="Times New Roman"/>
          <w:i/>
          <w:iCs/>
          <w:color w:val="000000"/>
          <w:sz w:val="24"/>
          <w:szCs w:val="24"/>
          <w:lang w:eastAsia="tr-TR"/>
        </w:rPr>
        <w:t>Staphylococcus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aureus</w:t>
      </w:r>
      <w:proofErr w:type="spellEnd"/>
      <w:r w:rsidRPr="00F77E79">
        <w:rPr>
          <w:rFonts w:ascii="Times New Roman" w:eastAsia="Times New Roman" w:hAnsi="Times New Roman" w:cs="Times New Roman"/>
          <w:color w:val="000000"/>
          <w:sz w:val="24"/>
          <w:szCs w:val="24"/>
          <w:lang w:eastAsia="tr-TR"/>
        </w:rPr>
        <w:t xml:space="preserve"> (MTCC 3160) ve </w:t>
      </w:r>
      <w:proofErr w:type="spellStart"/>
      <w:r w:rsidRPr="00F77E79">
        <w:rPr>
          <w:rFonts w:ascii="Times New Roman" w:eastAsia="Times New Roman" w:hAnsi="Times New Roman" w:cs="Times New Roman"/>
          <w:i/>
          <w:iCs/>
          <w:color w:val="000000"/>
          <w:sz w:val="24"/>
          <w:szCs w:val="24"/>
          <w:lang w:eastAsia="tr-TR"/>
        </w:rPr>
        <w:t>Aspergillus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flavus</w:t>
      </w:r>
      <w:proofErr w:type="spellEnd"/>
      <w:r w:rsidRPr="00F77E79">
        <w:rPr>
          <w:rFonts w:ascii="Times New Roman" w:eastAsia="Times New Roman" w:hAnsi="Times New Roman" w:cs="Times New Roman"/>
          <w:color w:val="000000"/>
          <w:sz w:val="24"/>
          <w:szCs w:val="24"/>
          <w:lang w:eastAsia="tr-TR"/>
        </w:rPr>
        <w:t xml:space="preserve"> (MTCC 277) plaklarında 40 mm </w:t>
      </w:r>
      <w:proofErr w:type="spellStart"/>
      <w:r w:rsidRPr="00F77E79">
        <w:rPr>
          <w:rFonts w:ascii="Times New Roman" w:eastAsia="Times New Roman" w:hAnsi="Times New Roman" w:cs="Times New Roman"/>
          <w:color w:val="000000"/>
          <w:sz w:val="24"/>
          <w:szCs w:val="24"/>
          <w:lang w:eastAsia="tr-TR"/>
        </w:rPr>
        <w:t>inhibisyon</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zonu</w:t>
      </w:r>
      <w:proofErr w:type="spellEnd"/>
      <w:r w:rsidRPr="00F77E79">
        <w:rPr>
          <w:rFonts w:ascii="Times New Roman" w:eastAsia="Times New Roman" w:hAnsi="Times New Roman" w:cs="Times New Roman"/>
          <w:color w:val="000000"/>
          <w:sz w:val="24"/>
          <w:szCs w:val="24"/>
          <w:lang w:eastAsia="tr-TR"/>
        </w:rPr>
        <w:t xml:space="preserve"> oluşturduğu rapor edilmiştir (</w:t>
      </w:r>
      <w:proofErr w:type="spellStart"/>
      <w:r w:rsidRPr="00F77E79">
        <w:rPr>
          <w:rFonts w:ascii="Times New Roman" w:eastAsia="Times New Roman" w:hAnsi="Times New Roman" w:cs="Times New Roman"/>
          <w:color w:val="000000"/>
          <w:sz w:val="24"/>
          <w:szCs w:val="24"/>
          <w:lang w:eastAsia="tr-TR"/>
        </w:rPr>
        <w:t>Chauhan</w:t>
      </w:r>
      <w:proofErr w:type="spellEnd"/>
      <w:r w:rsidR="00CF4BF6">
        <w:rPr>
          <w:rFonts w:ascii="Times New Roman" w:eastAsia="Times New Roman" w:hAnsi="Times New Roman" w:cs="Times New Roman"/>
          <w:color w:val="000000"/>
          <w:sz w:val="24"/>
          <w:szCs w:val="24"/>
          <w:lang w:eastAsia="tr-TR"/>
        </w:rPr>
        <w:t>,</w:t>
      </w:r>
      <w:r w:rsidRPr="00F77E79">
        <w:rPr>
          <w:rFonts w:ascii="Times New Roman" w:eastAsia="Times New Roman" w:hAnsi="Times New Roman" w:cs="Times New Roman"/>
          <w:color w:val="000000"/>
          <w:sz w:val="24"/>
          <w:szCs w:val="24"/>
          <w:lang w:eastAsia="tr-TR"/>
        </w:rPr>
        <w:t xml:space="preserve"> 2025). </w:t>
      </w:r>
    </w:p>
    <w:p w14:paraId="713C6222" w14:textId="1556765F" w:rsidR="00F77E79" w:rsidRPr="00F77E79" w:rsidRDefault="00F77E79" w:rsidP="009C516A">
      <w:pPr>
        <w:spacing w:before="120" w:after="120" w:line="276" w:lineRule="auto"/>
        <w:ind w:firstLine="72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lastRenderedPageBreak/>
        <w:t xml:space="preserve">Bir diğer çalışmada %76 oranında </w:t>
      </w:r>
      <w:proofErr w:type="spellStart"/>
      <w:r w:rsidRPr="00F77E79">
        <w:rPr>
          <w:rFonts w:ascii="Times New Roman" w:eastAsia="Times New Roman" w:hAnsi="Times New Roman" w:cs="Times New Roman"/>
          <w:color w:val="000000"/>
          <w:sz w:val="24"/>
          <w:szCs w:val="24"/>
          <w:lang w:eastAsia="tr-TR"/>
        </w:rPr>
        <w:t>geraniol</w:t>
      </w:r>
      <w:proofErr w:type="spellEnd"/>
      <w:r w:rsidRPr="00F77E79">
        <w:rPr>
          <w:rFonts w:ascii="Times New Roman" w:eastAsia="Times New Roman" w:hAnsi="Times New Roman" w:cs="Times New Roman"/>
          <w:color w:val="000000"/>
          <w:sz w:val="24"/>
          <w:szCs w:val="24"/>
          <w:lang w:eastAsia="tr-TR"/>
        </w:rPr>
        <w:t xml:space="preserve"> taşıyan </w:t>
      </w:r>
      <w:proofErr w:type="spellStart"/>
      <w:r w:rsidRPr="00F77E79">
        <w:rPr>
          <w:rFonts w:ascii="Times New Roman" w:eastAsia="Times New Roman" w:hAnsi="Times New Roman" w:cs="Times New Roman"/>
          <w:color w:val="000000"/>
          <w:sz w:val="24"/>
          <w:szCs w:val="24"/>
          <w:lang w:eastAsia="tr-TR"/>
        </w:rPr>
        <w:t>palmaro</w:t>
      </w:r>
      <w:r w:rsidR="009B18FC">
        <w:rPr>
          <w:rFonts w:ascii="Times New Roman" w:eastAsia="Times New Roman" w:hAnsi="Times New Roman" w:cs="Times New Roman"/>
          <w:color w:val="000000"/>
          <w:sz w:val="24"/>
          <w:szCs w:val="24"/>
          <w:lang w:eastAsia="tr-TR"/>
        </w:rPr>
        <w:t>z</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uçucu yağı (MİK: 300-350 </w:t>
      </w:r>
      <w:proofErr w:type="spellStart"/>
      <w:r w:rsidRPr="00F77E79">
        <w:rPr>
          <w:rFonts w:ascii="Times New Roman" w:eastAsia="Times New Roman" w:hAnsi="Times New Roman" w:cs="Times New Roman"/>
          <w:color w:val="000000"/>
          <w:sz w:val="24"/>
          <w:szCs w:val="24"/>
          <w:lang w:eastAsia="tr-TR"/>
        </w:rPr>
        <w:t>μg</w:t>
      </w:r>
      <w:proofErr w:type="spellEnd"/>
      <w:r w:rsidRPr="00F77E79">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m</w:t>
      </w:r>
      <w:r w:rsidR="00DE355C">
        <w:rPr>
          <w:rFonts w:ascii="Times New Roman" w:eastAsia="Times New Roman" w:hAnsi="Times New Roman" w:cs="Times New Roman"/>
          <w:color w:val="000000"/>
          <w:sz w:val="24"/>
          <w:szCs w:val="24"/>
          <w:lang w:eastAsia="tr-TR"/>
        </w:rPr>
        <w:t>L</w:t>
      </w:r>
      <w:proofErr w:type="spellEnd"/>
      <w:r w:rsidRPr="00F77E79">
        <w:rPr>
          <w:rFonts w:ascii="Times New Roman" w:eastAsia="Times New Roman" w:hAnsi="Times New Roman" w:cs="Times New Roman"/>
          <w:color w:val="000000"/>
          <w:sz w:val="24"/>
          <w:szCs w:val="24"/>
          <w:lang w:eastAsia="tr-TR"/>
        </w:rPr>
        <w:t xml:space="preserve">; MBK: 400-450 </w:t>
      </w:r>
      <w:proofErr w:type="spellStart"/>
      <w:r w:rsidRPr="00F77E79">
        <w:rPr>
          <w:rFonts w:ascii="Times New Roman" w:eastAsia="Times New Roman" w:hAnsi="Times New Roman" w:cs="Times New Roman"/>
          <w:color w:val="000000"/>
          <w:sz w:val="24"/>
          <w:szCs w:val="24"/>
          <w:lang w:eastAsia="tr-TR"/>
        </w:rPr>
        <w:t>μg</w:t>
      </w:r>
      <w:proofErr w:type="spellEnd"/>
      <w:r w:rsidRPr="00F77E79">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saf </w:t>
      </w:r>
      <w:proofErr w:type="spellStart"/>
      <w:r w:rsidRPr="00F77E79">
        <w:rPr>
          <w:rFonts w:ascii="Times New Roman" w:eastAsia="Times New Roman" w:hAnsi="Times New Roman" w:cs="Times New Roman"/>
          <w:color w:val="000000"/>
          <w:sz w:val="24"/>
          <w:szCs w:val="24"/>
          <w:lang w:eastAsia="tr-TR"/>
        </w:rPr>
        <w:t>geraniolden</w:t>
      </w:r>
      <w:proofErr w:type="spellEnd"/>
      <w:r w:rsidRPr="00F77E79">
        <w:rPr>
          <w:rFonts w:ascii="Times New Roman" w:eastAsia="Times New Roman" w:hAnsi="Times New Roman" w:cs="Times New Roman"/>
          <w:color w:val="000000"/>
          <w:sz w:val="24"/>
          <w:szCs w:val="24"/>
          <w:lang w:eastAsia="tr-TR"/>
        </w:rPr>
        <w:t xml:space="preserve"> (MİK: 500 </w:t>
      </w:r>
      <w:proofErr w:type="spellStart"/>
      <w:r w:rsidRPr="00F77E79">
        <w:rPr>
          <w:rFonts w:ascii="Times New Roman" w:eastAsia="Times New Roman" w:hAnsi="Times New Roman" w:cs="Times New Roman"/>
          <w:color w:val="000000"/>
          <w:sz w:val="24"/>
          <w:szCs w:val="24"/>
          <w:lang w:eastAsia="tr-TR"/>
        </w:rPr>
        <w:t>μg</w:t>
      </w:r>
      <w:proofErr w:type="spellEnd"/>
      <w:r w:rsidRPr="00F77E79">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m</w:t>
      </w:r>
      <w:r w:rsidR="00DE355C">
        <w:rPr>
          <w:rFonts w:ascii="Times New Roman" w:eastAsia="Times New Roman" w:hAnsi="Times New Roman" w:cs="Times New Roman"/>
          <w:color w:val="000000"/>
          <w:sz w:val="24"/>
          <w:szCs w:val="24"/>
          <w:lang w:eastAsia="tr-TR"/>
        </w:rPr>
        <w:t>L</w:t>
      </w:r>
      <w:proofErr w:type="spellEnd"/>
      <w:r w:rsidRPr="00F77E79">
        <w:rPr>
          <w:rFonts w:ascii="Times New Roman" w:eastAsia="Times New Roman" w:hAnsi="Times New Roman" w:cs="Times New Roman"/>
          <w:color w:val="000000"/>
          <w:sz w:val="24"/>
          <w:szCs w:val="24"/>
          <w:lang w:eastAsia="tr-TR"/>
        </w:rPr>
        <w:t xml:space="preserve">; MBK: 550-600 </w:t>
      </w:r>
      <w:proofErr w:type="spellStart"/>
      <w:r w:rsidRPr="00F77E79">
        <w:rPr>
          <w:rFonts w:ascii="Times New Roman" w:eastAsia="Times New Roman" w:hAnsi="Times New Roman" w:cs="Times New Roman"/>
          <w:color w:val="000000"/>
          <w:sz w:val="24"/>
          <w:szCs w:val="24"/>
          <w:lang w:eastAsia="tr-TR"/>
        </w:rPr>
        <w:t>μg</w:t>
      </w:r>
      <w:proofErr w:type="spellEnd"/>
      <w:r w:rsidRPr="00F77E79">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daha düşük MİK ve MBK değerleri sergilemiştir. Sonuçlar, test edilen konsantrasyonlarda (500 ve 1000 </w:t>
      </w:r>
      <w:proofErr w:type="spellStart"/>
      <w:r w:rsidRPr="00F77E79">
        <w:rPr>
          <w:rFonts w:ascii="Times New Roman" w:eastAsia="Times New Roman" w:hAnsi="Times New Roman" w:cs="Times New Roman"/>
          <w:color w:val="000000"/>
          <w:sz w:val="24"/>
          <w:szCs w:val="24"/>
          <w:lang w:eastAsia="tr-TR"/>
        </w:rPr>
        <w:t>μg</w:t>
      </w:r>
      <w:proofErr w:type="spellEnd"/>
      <w:r w:rsidRPr="00F77E79">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uçucu yağın </w:t>
      </w:r>
      <w:proofErr w:type="spellStart"/>
      <w:r w:rsidRPr="00F77E79">
        <w:rPr>
          <w:rFonts w:ascii="Times New Roman" w:eastAsia="Times New Roman" w:hAnsi="Times New Roman" w:cs="Times New Roman"/>
          <w:color w:val="000000"/>
          <w:sz w:val="24"/>
          <w:szCs w:val="24"/>
          <w:lang w:eastAsia="tr-TR"/>
        </w:rPr>
        <w:t>bi</w:t>
      </w:r>
      <w:r w:rsidR="009B18FC">
        <w:rPr>
          <w:rFonts w:ascii="Times New Roman" w:eastAsia="Times New Roman" w:hAnsi="Times New Roman" w:cs="Times New Roman"/>
          <w:color w:val="000000"/>
          <w:sz w:val="24"/>
          <w:szCs w:val="24"/>
          <w:lang w:eastAsia="tr-TR"/>
        </w:rPr>
        <w:t>y</w:t>
      </w:r>
      <w:r w:rsidRPr="00F77E79">
        <w:rPr>
          <w:rFonts w:ascii="Times New Roman" w:eastAsia="Times New Roman" w:hAnsi="Times New Roman" w:cs="Times New Roman"/>
          <w:color w:val="000000"/>
          <w:sz w:val="24"/>
          <w:szCs w:val="24"/>
          <w:lang w:eastAsia="tr-TR"/>
        </w:rPr>
        <w:t>ofilm</w:t>
      </w:r>
      <w:proofErr w:type="spellEnd"/>
      <w:r w:rsidRPr="00F77E79">
        <w:rPr>
          <w:rFonts w:ascii="Times New Roman" w:eastAsia="Times New Roman" w:hAnsi="Times New Roman" w:cs="Times New Roman"/>
          <w:color w:val="000000"/>
          <w:sz w:val="24"/>
          <w:szCs w:val="24"/>
          <w:lang w:eastAsia="tr-TR"/>
        </w:rPr>
        <w:t xml:space="preserve"> oluşumunu yaklaşık %100 oranında engellendiğini göstermiştir. </w:t>
      </w:r>
      <w:proofErr w:type="spellStart"/>
      <w:r w:rsidRPr="00F77E79">
        <w:rPr>
          <w:rFonts w:ascii="Times New Roman" w:eastAsia="Times New Roman" w:hAnsi="Times New Roman" w:cs="Times New Roman"/>
          <w:color w:val="000000"/>
          <w:sz w:val="24"/>
          <w:szCs w:val="24"/>
          <w:lang w:eastAsia="tr-TR"/>
        </w:rPr>
        <w:t>Vankomisin</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biyofilmde</w:t>
      </w:r>
      <w:proofErr w:type="spellEnd"/>
      <w:r w:rsidRPr="00F77E79">
        <w:rPr>
          <w:rFonts w:ascii="Times New Roman" w:eastAsia="Times New Roman" w:hAnsi="Times New Roman" w:cs="Times New Roman"/>
          <w:color w:val="000000"/>
          <w:sz w:val="24"/>
          <w:szCs w:val="24"/>
          <w:lang w:eastAsia="tr-TR"/>
        </w:rPr>
        <w:t xml:space="preserve"> canlılığını sürdüren </w:t>
      </w:r>
      <w:r w:rsidRPr="00F77E79">
        <w:rPr>
          <w:rFonts w:ascii="Times New Roman" w:eastAsia="Times New Roman" w:hAnsi="Times New Roman" w:cs="Times New Roman"/>
          <w:i/>
          <w:iCs/>
          <w:color w:val="000000"/>
          <w:sz w:val="24"/>
          <w:szCs w:val="24"/>
          <w:lang w:eastAsia="tr-TR"/>
        </w:rPr>
        <w:t xml:space="preserve">S. </w:t>
      </w:r>
      <w:proofErr w:type="spellStart"/>
      <w:r w:rsidRPr="00F77E79">
        <w:rPr>
          <w:rFonts w:ascii="Times New Roman" w:eastAsia="Times New Roman" w:hAnsi="Times New Roman" w:cs="Times New Roman"/>
          <w:i/>
          <w:iCs/>
          <w:color w:val="000000"/>
          <w:sz w:val="24"/>
          <w:szCs w:val="24"/>
          <w:lang w:eastAsia="tr-TR"/>
        </w:rPr>
        <w:t>aureus</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etkisiz kalırken, </w:t>
      </w:r>
      <w:proofErr w:type="spellStart"/>
      <w:r w:rsidR="009B18FC">
        <w:rPr>
          <w:rFonts w:ascii="Times New Roman" w:eastAsia="Times New Roman" w:hAnsi="Times New Roman" w:cs="Times New Roman"/>
          <w:color w:val="000000"/>
          <w:sz w:val="24"/>
          <w:szCs w:val="24"/>
          <w:lang w:eastAsia="tr-TR"/>
        </w:rPr>
        <w:t>p</w:t>
      </w:r>
      <w:r w:rsidRPr="00F77E79">
        <w:rPr>
          <w:rFonts w:ascii="Times New Roman" w:eastAsia="Times New Roman" w:hAnsi="Times New Roman" w:cs="Times New Roman"/>
          <w:color w:val="000000"/>
          <w:sz w:val="24"/>
          <w:szCs w:val="24"/>
          <w:lang w:eastAsia="tr-TR"/>
        </w:rPr>
        <w:t>almaro</w:t>
      </w:r>
      <w:r w:rsidR="009B18FC">
        <w:rPr>
          <w:rFonts w:ascii="Times New Roman" w:eastAsia="Times New Roman" w:hAnsi="Times New Roman" w:cs="Times New Roman"/>
          <w:color w:val="000000"/>
          <w:sz w:val="24"/>
          <w:szCs w:val="24"/>
          <w:lang w:eastAsia="tr-TR"/>
        </w:rPr>
        <w:t>z</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uçucu yağı 554.47 </w:t>
      </w:r>
      <w:proofErr w:type="spellStart"/>
      <w:r w:rsidRPr="00F77E79">
        <w:rPr>
          <w:rFonts w:ascii="Times New Roman" w:eastAsia="Times New Roman" w:hAnsi="Times New Roman" w:cs="Times New Roman"/>
          <w:color w:val="000000"/>
          <w:sz w:val="24"/>
          <w:szCs w:val="24"/>
          <w:lang w:eastAsia="tr-TR"/>
        </w:rPr>
        <w:t>μg</w:t>
      </w:r>
      <w:proofErr w:type="spellEnd"/>
      <w:r w:rsidRPr="00F77E79">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konsantrasyonda </w:t>
      </w:r>
      <w:proofErr w:type="spellStart"/>
      <w:r w:rsidRPr="00F77E79">
        <w:rPr>
          <w:rFonts w:ascii="Times New Roman" w:eastAsia="Times New Roman" w:hAnsi="Times New Roman" w:cs="Times New Roman"/>
          <w:color w:val="000000"/>
          <w:sz w:val="24"/>
          <w:szCs w:val="24"/>
          <w:lang w:eastAsia="tr-TR"/>
        </w:rPr>
        <w:t>biyofilm</w:t>
      </w:r>
      <w:proofErr w:type="spellEnd"/>
      <w:r w:rsidRPr="00F77E79">
        <w:rPr>
          <w:rFonts w:ascii="Times New Roman" w:eastAsia="Times New Roman" w:hAnsi="Times New Roman" w:cs="Times New Roman"/>
          <w:color w:val="000000"/>
          <w:sz w:val="24"/>
          <w:szCs w:val="24"/>
          <w:lang w:eastAsia="tr-TR"/>
        </w:rPr>
        <w:t xml:space="preserve"> içindeki </w:t>
      </w:r>
      <w:r w:rsidRPr="00F77E79">
        <w:rPr>
          <w:rFonts w:ascii="Times New Roman" w:eastAsia="Times New Roman" w:hAnsi="Times New Roman" w:cs="Times New Roman"/>
          <w:i/>
          <w:iCs/>
          <w:color w:val="000000"/>
          <w:sz w:val="24"/>
          <w:szCs w:val="24"/>
          <w:lang w:eastAsia="tr-TR"/>
        </w:rPr>
        <w:t xml:space="preserve">S. </w:t>
      </w:r>
      <w:proofErr w:type="spellStart"/>
      <w:r w:rsidRPr="00F77E79">
        <w:rPr>
          <w:rFonts w:ascii="Times New Roman" w:eastAsia="Times New Roman" w:hAnsi="Times New Roman" w:cs="Times New Roman"/>
          <w:i/>
          <w:iCs/>
          <w:color w:val="000000"/>
          <w:sz w:val="24"/>
          <w:szCs w:val="24"/>
          <w:lang w:eastAsia="tr-TR"/>
        </w:rPr>
        <w:t>aureus’</w:t>
      </w:r>
      <w:r w:rsidRPr="00F77E79">
        <w:rPr>
          <w:rFonts w:ascii="Times New Roman" w:eastAsia="Times New Roman" w:hAnsi="Times New Roman" w:cs="Times New Roman"/>
          <w:color w:val="000000"/>
          <w:sz w:val="24"/>
          <w:szCs w:val="24"/>
          <w:lang w:eastAsia="tr-TR"/>
        </w:rPr>
        <w:t>u</w:t>
      </w:r>
      <w:proofErr w:type="spellEnd"/>
      <w:r w:rsidRPr="00F77E79">
        <w:rPr>
          <w:rFonts w:ascii="Times New Roman" w:eastAsia="Times New Roman" w:hAnsi="Times New Roman" w:cs="Times New Roman"/>
          <w:color w:val="000000"/>
          <w:sz w:val="24"/>
          <w:szCs w:val="24"/>
          <w:lang w:eastAsia="tr-TR"/>
        </w:rPr>
        <w:t xml:space="preserve"> %50 oranında </w:t>
      </w:r>
      <w:proofErr w:type="spellStart"/>
      <w:r w:rsidRPr="00F77E79">
        <w:rPr>
          <w:rFonts w:ascii="Times New Roman" w:eastAsia="Times New Roman" w:hAnsi="Times New Roman" w:cs="Times New Roman"/>
          <w:color w:val="000000"/>
          <w:sz w:val="24"/>
          <w:szCs w:val="24"/>
          <w:lang w:eastAsia="tr-TR"/>
        </w:rPr>
        <w:t>inhibe</w:t>
      </w:r>
      <w:proofErr w:type="spellEnd"/>
      <w:r w:rsidRPr="00F77E79">
        <w:rPr>
          <w:rFonts w:ascii="Times New Roman" w:eastAsia="Times New Roman" w:hAnsi="Times New Roman" w:cs="Times New Roman"/>
          <w:color w:val="000000"/>
          <w:sz w:val="24"/>
          <w:szCs w:val="24"/>
          <w:lang w:eastAsia="tr-TR"/>
        </w:rPr>
        <w:t xml:space="preserve"> etmiştir (</w:t>
      </w:r>
      <w:proofErr w:type="spellStart"/>
      <w:r w:rsidRPr="00F77E79">
        <w:rPr>
          <w:rFonts w:ascii="Times New Roman" w:eastAsia="Times New Roman" w:hAnsi="Times New Roman" w:cs="Times New Roman"/>
          <w:color w:val="000000"/>
          <w:sz w:val="24"/>
          <w:szCs w:val="24"/>
          <w:lang w:eastAsia="tr-TR"/>
        </w:rPr>
        <w:t>Cebollada</w:t>
      </w:r>
      <w:proofErr w:type="spellEnd"/>
      <w:r w:rsidR="00841952">
        <w:rPr>
          <w:rFonts w:ascii="Times New Roman" w:eastAsia="Times New Roman" w:hAnsi="Times New Roman" w:cs="Times New Roman"/>
          <w:color w:val="000000"/>
          <w:sz w:val="24"/>
          <w:szCs w:val="24"/>
          <w:lang w:eastAsia="tr-TR"/>
        </w:rPr>
        <w:t xml:space="preserve"> ve ark.</w:t>
      </w:r>
      <w:r w:rsidRPr="00F77E79">
        <w:rPr>
          <w:rFonts w:ascii="Times New Roman" w:eastAsia="Times New Roman" w:hAnsi="Times New Roman" w:cs="Times New Roman"/>
          <w:color w:val="000000"/>
          <w:sz w:val="24"/>
          <w:szCs w:val="24"/>
          <w:lang w:eastAsia="tr-TR"/>
        </w:rPr>
        <w:t>, 2026). </w:t>
      </w:r>
    </w:p>
    <w:p w14:paraId="53274325" w14:textId="06DF7F3B" w:rsidR="00FC6DFA" w:rsidRDefault="00F77E79" w:rsidP="00FC6DFA">
      <w:pPr>
        <w:spacing w:before="120" w:after="120" w:line="276" w:lineRule="auto"/>
        <w:ind w:firstLine="72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Benzer bir çalışmada çiçek durumu, yaprak ve tüm bitki kısımlarından ayrı ayrı elde edilen ve </w:t>
      </w:r>
      <w:proofErr w:type="spellStart"/>
      <w:r w:rsidRPr="00F77E79">
        <w:rPr>
          <w:rFonts w:ascii="Times New Roman" w:eastAsia="Times New Roman" w:hAnsi="Times New Roman" w:cs="Times New Roman"/>
          <w:color w:val="000000"/>
          <w:sz w:val="24"/>
          <w:szCs w:val="24"/>
          <w:lang w:eastAsia="tr-TR"/>
        </w:rPr>
        <w:t>geraniol</w:t>
      </w:r>
      <w:proofErr w:type="spellEnd"/>
      <w:r w:rsidRPr="00F77E79">
        <w:rPr>
          <w:rFonts w:ascii="Times New Roman" w:eastAsia="Times New Roman" w:hAnsi="Times New Roman" w:cs="Times New Roman"/>
          <w:color w:val="000000"/>
          <w:sz w:val="24"/>
          <w:szCs w:val="24"/>
          <w:lang w:eastAsia="tr-TR"/>
        </w:rPr>
        <w:t xml:space="preserve"> (%82,5–%85,0), </w:t>
      </w:r>
      <w:proofErr w:type="spellStart"/>
      <w:r w:rsidRPr="00F77E79">
        <w:rPr>
          <w:rFonts w:ascii="Times New Roman" w:eastAsia="Times New Roman" w:hAnsi="Times New Roman" w:cs="Times New Roman"/>
          <w:color w:val="000000"/>
          <w:sz w:val="24"/>
          <w:szCs w:val="24"/>
          <w:lang w:eastAsia="tr-TR"/>
        </w:rPr>
        <w:t>neril</w:t>
      </w:r>
      <w:proofErr w:type="spellEnd"/>
      <w:r w:rsidRPr="00F77E79">
        <w:rPr>
          <w:rFonts w:ascii="Times New Roman" w:eastAsia="Times New Roman" w:hAnsi="Times New Roman" w:cs="Times New Roman"/>
          <w:color w:val="000000"/>
          <w:sz w:val="24"/>
          <w:szCs w:val="24"/>
          <w:lang w:eastAsia="tr-TR"/>
        </w:rPr>
        <w:t xml:space="preserve"> asetat (%8,4–%9,8), </w:t>
      </w:r>
      <w:proofErr w:type="spellStart"/>
      <w:r w:rsidRPr="00F77E79">
        <w:rPr>
          <w:rFonts w:ascii="Times New Roman" w:eastAsia="Times New Roman" w:hAnsi="Times New Roman" w:cs="Times New Roman"/>
          <w:i/>
          <w:iCs/>
          <w:color w:val="000000"/>
          <w:sz w:val="24"/>
          <w:szCs w:val="24"/>
          <w:lang w:eastAsia="tr-TR"/>
        </w:rPr>
        <w:t>cis</w:t>
      </w:r>
      <w:proofErr w:type="spellEnd"/>
      <w:r w:rsidRPr="00F77E79">
        <w:rPr>
          <w:rFonts w:ascii="Times New Roman" w:eastAsia="Times New Roman" w:hAnsi="Times New Roman" w:cs="Times New Roman"/>
          <w:color w:val="000000"/>
          <w:sz w:val="24"/>
          <w:szCs w:val="24"/>
          <w:lang w:eastAsia="tr-TR"/>
        </w:rPr>
        <w:t>-β-</w:t>
      </w:r>
      <w:proofErr w:type="spellStart"/>
      <w:r w:rsidRPr="00F77E79">
        <w:rPr>
          <w:rFonts w:ascii="Times New Roman" w:eastAsia="Times New Roman" w:hAnsi="Times New Roman" w:cs="Times New Roman"/>
          <w:color w:val="000000"/>
          <w:sz w:val="24"/>
          <w:szCs w:val="24"/>
          <w:lang w:eastAsia="tr-TR"/>
        </w:rPr>
        <w:t>terpineol</w:t>
      </w:r>
      <w:proofErr w:type="spellEnd"/>
      <w:r w:rsidRPr="00F77E79">
        <w:rPr>
          <w:rFonts w:ascii="Times New Roman" w:eastAsia="Times New Roman" w:hAnsi="Times New Roman" w:cs="Times New Roman"/>
          <w:color w:val="000000"/>
          <w:sz w:val="24"/>
          <w:szCs w:val="24"/>
          <w:lang w:eastAsia="tr-TR"/>
        </w:rPr>
        <w:t xml:space="preserve"> (%1,48–%2,06) kompozisyonuna sahip uçucu yağlar hem Gram</w:t>
      </w:r>
      <w:r w:rsidR="00C41C02">
        <w:rPr>
          <w:rFonts w:ascii="Times New Roman" w:eastAsia="Times New Roman" w:hAnsi="Times New Roman" w:cs="Times New Roman"/>
          <w:color w:val="000000"/>
          <w:sz w:val="24"/>
          <w:szCs w:val="24"/>
          <w:lang w:eastAsia="tr-TR"/>
        </w:rPr>
        <w:t xml:space="preserve"> </w:t>
      </w:r>
      <w:r w:rsidRPr="00F77E79">
        <w:rPr>
          <w:rFonts w:ascii="Times New Roman" w:eastAsia="Times New Roman" w:hAnsi="Times New Roman" w:cs="Times New Roman"/>
          <w:color w:val="000000"/>
          <w:sz w:val="24"/>
          <w:szCs w:val="24"/>
          <w:lang w:eastAsia="tr-TR"/>
        </w:rPr>
        <w:t>(+) (</w:t>
      </w:r>
      <w:proofErr w:type="spellStart"/>
      <w:r w:rsidRPr="00F77E79">
        <w:rPr>
          <w:rFonts w:ascii="Times New Roman" w:eastAsia="Times New Roman" w:hAnsi="Times New Roman" w:cs="Times New Roman"/>
          <w:i/>
          <w:iCs/>
          <w:color w:val="000000"/>
          <w:sz w:val="24"/>
          <w:szCs w:val="24"/>
          <w:lang w:eastAsia="tr-TR"/>
        </w:rPr>
        <w:t>Micrococcus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luteus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Bacillus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subtilis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Staphylococcus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aureus</w:t>
      </w:r>
      <w:proofErr w:type="spellEnd"/>
      <w:r w:rsidRPr="00F77E79">
        <w:rPr>
          <w:rFonts w:ascii="Times New Roman" w:eastAsia="Times New Roman" w:hAnsi="Times New Roman" w:cs="Times New Roman"/>
          <w:color w:val="000000"/>
          <w:sz w:val="24"/>
          <w:szCs w:val="24"/>
          <w:lang w:eastAsia="tr-TR"/>
        </w:rPr>
        <w:t>) hem de Gram</w:t>
      </w:r>
      <w:r w:rsidR="00C41C02">
        <w:rPr>
          <w:rFonts w:ascii="Times New Roman" w:eastAsia="Times New Roman" w:hAnsi="Times New Roman" w:cs="Times New Roman"/>
          <w:color w:val="000000"/>
          <w:sz w:val="24"/>
          <w:szCs w:val="24"/>
          <w:lang w:eastAsia="tr-TR"/>
        </w:rPr>
        <w:t xml:space="preserve"> </w:t>
      </w:r>
      <w:r w:rsidRPr="00F77E79">
        <w:rPr>
          <w:rFonts w:ascii="Times New Roman" w:eastAsia="Times New Roman" w:hAnsi="Times New Roman" w:cs="Times New Roman"/>
          <w:color w:val="000000"/>
          <w:sz w:val="24"/>
          <w:szCs w:val="24"/>
          <w:lang w:eastAsia="tr-TR"/>
        </w:rPr>
        <w:t>(-) (</w:t>
      </w:r>
      <w:proofErr w:type="spellStart"/>
      <w:r w:rsidRPr="00F77E79">
        <w:rPr>
          <w:rFonts w:ascii="Times New Roman" w:eastAsia="Times New Roman" w:hAnsi="Times New Roman" w:cs="Times New Roman"/>
          <w:i/>
          <w:iCs/>
          <w:color w:val="000000"/>
          <w:sz w:val="24"/>
          <w:szCs w:val="24"/>
          <w:lang w:eastAsia="tr-TR"/>
        </w:rPr>
        <w:t>Klebsiella</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pneumoniae</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Escherichia</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coli</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Pseudomonas</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aeruginosa</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suşlara</w:t>
      </w:r>
      <w:proofErr w:type="spellEnd"/>
      <w:r w:rsidRPr="00F77E79">
        <w:rPr>
          <w:rFonts w:ascii="Times New Roman" w:eastAsia="Times New Roman" w:hAnsi="Times New Roman" w:cs="Times New Roman"/>
          <w:color w:val="000000"/>
          <w:sz w:val="24"/>
          <w:szCs w:val="24"/>
          <w:lang w:eastAsia="tr-TR"/>
        </w:rPr>
        <w:t xml:space="preserve"> karşı </w:t>
      </w:r>
      <w:r w:rsidR="00DE355C" w:rsidRPr="00DE355C">
        <w:rPr>
          <w:rFonts w:ascii="Times New Roman" w:eastAsia="Times New Roman" w:hAnsi="Times New Roman" w:cs="Times New Roman"/>
          <w:color w:val="000000"/>
          <w:sz w:val="24"/>
          <w:szCs w:val="24"/>
          <w:lang w:eastAsia="tr-TR"/>
        </w:rPr>
        <w:t>%0,</w:t>
      </w:r>
      <w:r w:rsidR="00DE355C" w:rsidRPr="00F77E79">
        <w:rPr>
          <w:rFonts w:ascii="Times New Roman" w:eastAsia="Times New Roman" w:hAnsi="Times New Roman" w:cs="Times New Roman"/>
          <w:color w:val="000000"/>
          <w:sz w:val="24"/>
          <w:szCs w:val="24"/>
          <w:lang w:eastAsia="tr-TR"/>
        </w:rPr>
        <w:t xml:space="preserve">125-2,0 </w:t>
      </w:r>
      <w:r w:rsidRPr="00F77E79">
        <w:rPr>
          <w:rFonts w:ascii="Times New Roman" w:eastAsia="Times New Roman" w:hAnsi="Times New Roman" w:cs="Times New Roman"/>
          <w:color w:val="000000"/>
          <w:sz w:val="24"/>
          <w:szCs w:val="24"/>
          <w:lang w:eastAsia="tr-TR"/>
        </w:rPr>
        <w:t xml:space="preserve">(%v/v) aralığında dikkat çekici </w:t>
      </w:r>
      <w:proofErr w:type="spellStart"/>
      <w:r w:rsidRPr="00F77E79">
        <w:rPr>
          <w:rFonts w:ascii="Times New Roman" w:eastAsia="Times New Roman" w:hAnsi="Times New Roman" w:cs="Times New Roman"/>
          <w:color w:val="000000"/>
          <w:sz w:val="24"/>
          <w:szCs w:val="24"/>
          <w:lang w:eastAsia="tr-TR"/>
        </w:rPr>
        <w:t>antibakteriy</w:t>
      </w:r>
      <w:r w:rsidR="00C41C02">
        <w:rPr>
          <w:rFonts w:ascii="Times New Roman" w:eastAsia="Times New Roman" w:hAnsi="Times New Roman" w:cs="Times New Roman"/>
          <w:color w:val="000000"/>
          <w:sz w:val="24"/>
          <w:szCs w:val="24"/>
          <w:lang w:eastAsia="tr-TR"/>
        </w:rPr>
        <w:t>a</w:t>
      </w:r>
      <w:r w:rsidRPr="00F77E79">
        <w:rPr>
          <w:rFonts w:ascii="Times New Roman" w:eastAsia="Times New Roman" w:hAnsi="Times New Roman" w:cs="Times New Roman"/>
          <w:color w:val="000000"/>
          <w:sz w:val="24"/>
          <w:szCs w:val="24"/>
          <w:lang w:eastAsia="tr-TR"/>
        </w:rPr>
        <w:t>l</w:t>
      </w:r>
      <w:proofErr w:type="spellEnd"/>
      <w:r w:rsidRPr="00F77E79">
        <w:rPr>
          <w:rFonts w:ascii="Times New Roman" w:eastAsia="Times New Roman" w:hAnsi="Times New Roman" w:cs="Times New Roman"/>
          <w:color w:val="000000"/>
          <w:sz w:val="24"/>
          <w:szCs w:val="24"/>
          <w:lang w:eastAsia="tr-TR"/>
        </w:rPr>
        <w:t xml:space="preserve"> aktivite göstermiştir (</w:t>
      </w:r>
      <w:proofErr w:type="spellStart"/>
      <w:r w:rsidRPr="00F77E79">
        <w:rPr>
          <w:rFonts w:ascii="Times New Roman" w:eastAsia="Times New Roman" w:hAnsi="Times New Roman" w:cs="Times New Roman"/>
          <w:color w:val="000000"/>
          <w:sz w:val="24"/>
          <w:szCs w:val="24"/>
          <w:lang w:eastAsia="tr-TR"/>
        </w:rPr>
        <w:t>Sharma</w:t>
      </w:r>
      <w:proofErr w:type="spellEnd"/>
      <w:r w:rsidRPr="00F77E79">
        <w:rPr>
          <w:rFonts w:ascii="Times New Roman" w:eastAsia="Times New Roman" w:hAnsi="Times New Roman" w:cs="Times New Roman"/>
          <w:color w:val="000000"/>
          <w:sz w:val="24"/>
          <w:szCs w:val="24"/>
          <w:lang w:eastAsia="tr-TR"/>
        </w:rPr>
        <w:t xml:space="preserve">, 2026). Diğer bir çalışmada </w:t>
      </w:r>
      <w:proofErr w:type="spellStart"/>
      <w:r w:rsidRPr="00F77E79">
        <w:rPr>
          <w:rFonts w:ascii="Times New Roman" w:eastAsia="Times New Roman" w:hAnsi="Times New Roman" w:cs="Times New Roman"/>
          <w:i/>
          <w:iCs/>
          <w:color w:val="000000"/>
          <w:sz w:val="24"/>
          <w:szCs w:val="24"/>
          <w:lang w:eastAsia="tr-TR"/>
        </w:rPr>
        <w:t>Cymbopogon</w:t>
      </w:r>
      <w:proofErr w:type="spellEnd"/>
      <w:r w:rsidRPr="00F77E79">
        <w:rPr>
          <w:rFonts w:ascii="Times New Roman" w:eastAsia="Times New Roman" w:hAnsi="Times New Roman" w:cs="Times New Roman"/>
          <w:i/>
          <w:iCs/>
          <w:color w:val="000000"/>
          <w:sz w:val="24"/>
          <w:szCs w:val="24"/>
          <w:lang w:eastAsia="tr-TR"/>
        </w:rPr>
        <w:t xml:space="preserve"> martini</w:t>
      </w:r>
      <w:r w:rsidRPr="00F77E79">
        <w:rPr>
          <w:rFonts w:ascii="Times New Roman" w:eastAsia="Times New Roman" w:hAnsi="Times New Roman" w:cs="Times New Roman"/>
          <w:color w:val="000000"/>
          <w:sz w:val="24"/>
          <w:szCs w:val="24"/>
          <w:lang w:eastAsia="tr-TR"/>
        </w:rPr>
        <w:t xml:space="preserve"> var. </w:t>
      </w:r>
      <w:proofErr w:type="spellStart"/>
      <w:proofErr w:type="gramStart"/>
      <w:r w:rsidRPr="00F77E79">
        <w:rPr>
          <w:rFonts w:ascii="Times New Roman" w:eastAsia="Times New Roman" w:hAnsi="Times New Roman" w:cs="Times New Roman"/>
          <w:i/>
          <w:iCs/>
          <w:color w:val="000000"/>
          <w:sz w:val="24"/>
          <w:szCs w:val="24"/>
          <w:lang w:eastAsia="tr-TR"/>
        </w:rPr>
        <w:t>motia</w:t>
      </w:r>
      <w:proofErr w:type="spellEnd"/>
      <w:proofErr w:type="gramEnd"/>
      <w:r w:rsidRPr="00F77E79">
        <w:rPr>
          <w:rFonts w:ascii="Times New Roman" w:eastAsia="Times New Roman" w:hAnsi="Times New Roman" w:cs="Times New Roman"/>
          <w:color w:val="000000"/>
          <w:sz w:val="24"/>
          <w:szCs w:val="24"/>
          <w:lang w:eastAsia="tr-TR"/>
        </w:rPr>
        <w:t xml:space="preserve"> uçucu yağı (%80 </w:t>
      </w:r>
      <w:proofErr w:type="spellStart"/>
      <w:r w:rsidRPr="00F77E79">
        <w:rPr>
          <w:rFonts w:ascii="Times New Roman" w:eastAsia="Times New Roman" w:hAnsi="Times New Roman" w:cs="Times New Roman"/>
          <w:color w:val="000000"/>
          <w:sz w:val="24"/>
          <w:szCs w:val="24"/>
          <w:lang w:eastAsia="tr-TR"/>
        </w:rPr>
        <w:t>geraniol</w:t>
      </w:r>
      <w:proofErr w:type="spellEnd"/>
      <w:r w:rsidRPr="00F77E79">
        <w:rPr>
          <w:rFonts w:ascii="Times New Roman" w:eastAsia="Times New Roman" w:hAnsi="Times New Roman" w:cs="Times New Roman"/>
          <w:color w:val="000000"/>
          <w:sz w:val="24"/>
          <w:szCs w:val="24"/>
          <w:lang w:eastAsia="tr-TR"/>
        </w:rPr>
        <w:t xml:space="preserve">), </w:t>
      </w:r>
      <w:r w:rsidRPr="00F77E79">
        <w:rPr>
          <w:rFonts w:ascii="Times New Roman" w:eastAsia="Times New Roman" w:hAnsi="Times New Roman" w:cs="Times New Roman"/>
          <w:i/>
          <w:iCs/>
          <w:color w:val="000000"/>
          <w:sz w:val="24"/>
          <w:szCs w:val="24"/>
          <w:lang w:eastAsia="tr-TR"/>
        </w:rPr>
        <w:t xml:space="preserve">B. </w:t>
      </w:r>
      <w:proofErr w:type="spellStart"/>
      <w:r w:rsidRPr="00F77E79">
        <w:rPr>
          <w:rFonts w:ascii="Times New Roman" w:eastAsia="Times New Roman" w:hAnsi="Times New Roman" w:cs="Times New Roman"/>
          <w:i/>
          <w:iCs/>
          <w:color w:val="000000"/>
          <w:sz w:val="24"/>
          <w:szCs w:val="24"/>
          <w:lang w:eastAsia="tr-TR"/>
        </w:rPr>
        <w:t>subtilis</w:t>
      </w:r>
      <w:proofErr w:type="spellEnd"/>
      <w:r w:rsidRPr="00F77E79">
        <w:rPr>
          <w:rFonts w:ascii="Times New Roman" w:eastAsia="Times New Roman" w:hAnsi="Times New Roman" w:cs="Times New Roman"/>
          <w:color w:val="000000"/>
          <w:sz w:val="24"/>
          <w:szCs w:val="24"/>
          <w:lang w:eastAsia="tr-TR"/>
        </w:rPr>
        <w:t xml:space="preserve"> bakterisine karşı 10 </w:t>
      </w:r>
      <w:proofErr w:type="spellStart"/>
      <w:r w:rsidRPr="00F77E79">
        <w:rPr>
          <w:rFonts w:ascii="Times New Roman" w:eastAsia="Times New Roman" w:hAnsi="Times New Roman" w:cs="Times New Roman"/>
          <w:color w:val="000000"/>
          <w:sz w:val="24"/>
          <w:szCs w:val="24"/>
          <w:lang w:eastAsia="tr-TR"/>
        </w:rPr>
        <w:t>μL</w:t>
      </w:r>
      <w:proofErr w:type="spellEnd"/>
      <w:r w:rsidRPr="00F77E79">
        <w:rPr>
          <w:rFonts w:ascii="Times New Roman" w:eastAsia="Times New Roman" w:hAnsi="Times New Roman" w:cs="Times New Roman"/>
          <w:color w:val="000000"/>
          <w:sz w:val="24"/>
          <w:szCs w:val="24"/>
          <w:lang w:eastAsia="tr-TR"/>
        </w:rPr>
        <w:t>/</w:t>
      </w:r>
      <w:proofErr w:type="spellStart"/>
      <w:r w:rsidRPr="00F77E79">
        <w:rPr>
          <w:rFonts w:ascii="Times New Roman" w:eastAsia="Times New Roman" w:hAnsi="Times New Roman" w:cs="Times New Roman"/>
          <w:color w:val="000000"/>
          <w:sz w:val="24"/>
          <w:szCs w:val="24"/>
          <w:lang w:eastAsia="tr-TR"/>
        </w:rPr>
        <w:t>mL</w:t>
      </w:r>
      <w:proofErr w:type="spellEnd"/>
      <w:r w:rsidRPr="00F77E79">
        <w:rPr>
          <w:rFonts w:ascii="Times New Roman" w:eastAsia="Times New Roman" w:hAnsi="Times New Roman" w:cs="Times New Roman"/>
          <w:color w:val="000000"/>
          <w:sz w:val="24"/>
          <w:szCs w:val="24"/>
          <w:lang w:eastAsia="tr-TR"/>
        </w:rPr>
        <w:t xml:space="preserve"> konsantrasyonda %79,8 oranında gelişim </w:t>
      </w:r>
      <w:proofErr w:type="spellStart"/>
      <w:r w:rsidRPr="00F77E79">
        <w:rPr>
          <w:rFonts w:ascii="Times New Roman" w:eastAsia="Times New Roman" w:hAnsi="Times New Roman" w:cs="Times New Roman"/>
          <w:color w:val="000000"/>
          <w:sz w:val="24"/>
          <w:szCs w:val="24"/>
          <w:lang w:eastAsia="tr-TR"/>
        </w:rPr>
        <w:t>inhibisyonu</w:t>
      </w:r>
      <w:proofErr w:type="spellEnd"/>
      <w:r w:rsidRPr="00F77E79">
        <w:rPr>
          <w:rFonts w:ascii="Times New Roman" w:eastAsia="Times New Roman" w:hAnsi="Times New Roman" w:cs="Times New Roman"/>
          <w:color w:val="000000"/>
          <w:sz w:val="24"/>
          <w:szCs w:val="24"/>
          <w:lang w:eastAsia="tr-TR"/>
        </w:rPr>
        <w:t xml:space="preserve"> göstermiştir (</w:t>
      </w:r>
      <w:proofErr w:type="spellStart"/>
      <w:r w:rsidRPr="00F77E79">
        <w:rPr>
          <w:rFonts w:ascii="Times New Roman" w:eastAsia="Times New Roman" w:hAnsi="Times New Roman" w:cs="Times New Roman"/>
          <w:color w:val="000000"/>
          <w:sz w:val="24"/>
          <w:szCs w:val="24"/>
          <w:lang w:eastAsia="tr-TR"/>
        </w:rPr>
        <w:t>Santamarta</w:t>
      </w:r>
      <w:proofErr w:type="spellEnd"/>
      <w:r w:rsidRPr="00F77E79">
        <w:rPr>
          <w:rFonts w:ascii="Times New Roman" w:eastAsia="Times New Roman" w:hAnsi="Times New Roman" w:cs="Times New Roman"/>
          <w:color w:val="000000"/>
          <w:sz w:val="24"/>
          <w:szCs w:val="24"/>
          <w:lang w:eastAsia="tr-TR"/>
        </w:rPr>
        <w:t xml:space="preserve"> ve ark., 2023). </w:t>
      </w:r>
    </w:p>
    <w:p w14:paraId="2E28C80C" w14:textId="0ACC1AA8" w:rsidR="00F77E79" w:rsidRPr="00F77E79" w:rsidRDefault="00F77E79" w:rsidP="00FC6DFA">
      <w:pPr>
        <w:spacing w:before="120" w:after="120" w:line="276" w:lineRule="auto"/>
        <w:ind w:firstLine="709"/>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b/>
          <w:bCs/>
          <w:i/>
          <w:iCs/>
          <w:color w:val="000000"/>
          <w:sz w:val="24"/>
          <w:szCs w:val="24"/>
          <w:lang w:eastAsia="tr-TR"/>
        </w:rPr>
        <w:t>6.3.</w:t>
      </w:r>
      <w:r w:rsidRPr="00F77E79">
        <w:rPr>
          <w:rFonts w:ascii="Times New Roman" w:eastAsia="Times New Roman" w:hAnsi="Times New Roman" w:cs="Times New Roman"/>
          <w:b/>
          <w:bCs/>
          <w:color w:val="000000"/>
          <w:sz w:val="24"/>
          <w:szCs w:val="24"/>
          <w:lang w:eastAsia="tr-TR"/>
        </w:rPr>
        <w:t xml:space="preserve">   </w:t>
      </w:r>
      <w:r w:rsidRPr="00F77E79">
        <w:rPr>
          <w:rFonts w:ascii="Times New Roman" w:eastAsia="Times New Roman" w:hAnsi="Times New Roman" w:cs="Times New Roman"/>
          <w:b/>
          <w:bCs/>
          <w:i/>
          <w:iCs/>
          <w:color w:val="212121"/>
          <w:sz w:val="24"/>
          <w:szCs w:val="24"/>
          <w:lang w:eastAsia="tr-TR"/>
        </w:rPr>
        <w:t>Bağırsak florası ve IBS semptomları üzerindeki etkileri</w:t>
      </w:r>
      <w:r w:rsidRPr="00F77E79">
        <w:rPr>
          <w:rFonts w:ascii="Times New Roman" w:eastAsia="Times New Roman" w:hAnsi="Times New Roman" w:cs="Times New Roman"/>
          <w:b/>
          <w:bCs/>
          <w:color w:val="212121"/>
          <w:sz w:val="24"/>
          <w:szCs w:val="24"/>
          <w:lang w:eastAsia="tr-TR"/>
        </w:rPr>
        <w:t xml:space="preserve"> </w:t>
      </w:r>
    </w:p>
    <w:p w14:paraId="6D8F3C5D" w14:textId="77384966" w:rsidR="00F77E79" w:rsidRPr="00F77E79" w:rsidRDefault="00F77E79" w:rsidP="00C41C02">
      <w:pPr>
        <w:spacing w:before="120" w:after="120" w:line="276" w:lineRule="auto"/>
        <w:ind w:firstLine="708"/>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i/>
          <w:iCs/>
          <w:color w:val="000000"/>
          <w:sz w:val="24"/>
          <w:szCs w:val="24"/>
          <w:lang w:eastAsia="tr-TR"/>
        </w:rPr>
        <w:t>C</w:t>
      </w:r>
      <w:r w:rsidR="00C94279">
        <w:rPr>
          <w:rFonts w:ascii="Times New Roman" w:eastAsia="Times New Roman" w:hAnsi="Times New Roman" w:cs="Times New Roman"/>
          <w:i/>
          <w:iCs/>
          <w:color w:val="000000"/>
          <w:sz w:val="24"/>
          <w:szCs w:val="24"/>
          <w:lang w:eastAsia="tr-TR"/>
        </w:rPr>
        <w:t>.</w:t>
      </w:r>
      <w:r w:rsidRPr="00F77E79">
        <w:rPr>
          <w:rFonts w:ascii="Times New Roman" w:eastAsia="Times New Roman" w:hAnsi="Times New Roman" w:cs="Times New Roman"/>
          <w:i/>
          <w:iCs/>
          <w:color w:val="000000"/>
          <w:sz w:val="24"/>
          <w:szCs w:val="24"/>
          <w:lang w:eastAsia="tr-TR"/>
        </w:rPr>
        <w:t xml:space="preserve"> martini</w:t>
      </w:r>
      <w:r w:rsidRPr="00F77E79">
        <w:rPr>
          <w:rFonts w:ascii="Times New Roman" w:eastAsia="Times New Roman" w:hAnsi="Times New Roman" w:cs="Times New Roman"/>
          <w:color w:val="000000"/>
          <w:sz w:val="24"/>
          <w:szCs w:val="24"/>
          <w:lang w:eastAsia="tr-TR"/>
        </w:rPr>
        <w:t xml:space="preserve"> uçucu yağının (%67 </w:t>
      </w:r>
      <w:proofErr w:type="spellStart"/>
      <w:r w:rsidRPr="00F77E79">
        <w:rPr>
          <w:rFonts w:ascii="Times New Roman" w:eastAsia="Times New Roman" w:hAnsi="Times New Roman" w:cs="Times New Roman"/>
          <w:color w:val="000000"/>
          <w:sz w:val="24"/>
          <w:szCs w:val="24"/>
          <w:lang w:eastAsia="tr-TR"/>
        </w:rPr>
        <w:t>geraniol</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Candida</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albicans</w:t>
      </w:r>
      <w:proofErr w:type="spellEnd"/>
      <w:r w:rsidRPr="00F77E79">
        <w:rPr>
          <w:rFonts w:ascii="Times New Roman" w:eastAsia="Times New Roman" w:hAnsi="Times New Roman" w:cs="Times New Roman"/>
          <w:color w:val="000000"/>
          <w:sz w:val="24"/>
          <w:szCs w:val="24"/>
          <w:lang w:eastAsia="tr-TR"/>
        </w:rPr>
        <w:t xml:space="preserve"> ile </w:t>
      </w:r>
      <w:proofErr w:type="spellStart"/>
      <w:r w:rsidRPr="00F77E79">
        <w:rPr>
          <w:rFonts w:ascii="Times New Roman" w:eastAsia="Times New Roman" w:hAnsi="Times New Roman" w:cs="Times New Roman"/>
          <w:color w:val="000000"/>
          <w:sz w:val="24"/>
          <w:szCs w:val="24"/>
          <w:lang w:eastAsia="tr-TR"/>
        </w:rPr>
        <w:t>enfekte</w:t>
      </w:r>
      <w:proofErr w:type="spellEnd"/>
      <w:r w:rsidRPr="00F77E79">
        <w:rPr>
          <w:rFonts w:ascii="Times New Roman" w:eastAsia="Times New Roman" w:hAnsi="Times New Roman" w:cs="Times New Roman"/>
          <w:color w:val="000000"/>
          <w:sz w:val="24"/>
          <w:szCs w:val="24"/>
          <w:lang w:eastAsia="tr-TR"/>
        </w:rPr>
        <w:t xml:space="preserve"> edilen güvercinler üzerindeki etkilerinin incelendiği bir çalışmada; uygulama sonucunda </w:t>
      </w:r>
      <w:proofErr w:type="spellStart"/>
      <w:r w:rsidRPr="00F77E79">
        <w:rPr>
          <w:rFonts w:ascii="Times New Roman" w:eastAsia="Times New Roman" w:hAnsi="Times New Roman" w:cs="Times New Roman"/>
          <w:color w:val="000000"/>
          <w:sz w:val="24"/>
          <w:szCs w:val="24"/>
          <w:lang w:eastAsia="tr-TR"/>
        </w:rPr>
        <w:t>süperoksit</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dismutaz</w:t>
      </w:r>
      <w:proofErr w:type="spellEnd"/>
      <w:r w:rsidRPr="00F77E79">
        <w:rPr>
          <w:rFonts w:ascii="Times New Roman" w:eastAsia="Times New Roman" w:hAnsi="Times New Roman" w:cs="Times New Roman"/>
          <w:color w:val="000000"/>
          <w:sz w:val="24"/>
          <w:szCs w:val="24"/>
          <w:lang w:eastAsia="tr-TR"/>
        </w:rPr>
        <w:t xml:space="preserve"> (SOD) ve </w:t>
      </w:r>
      <w:proofErr w:type="spellStart"/>
      <w:r w:rsidRPr="00F77E79">
        <w:rPr>
          <w:rFonts w:ascii="Times New Roman" w:eastAsia="Times New Roman" w:hAnsi="Times New Roman" w:cs="Times New Roman"/>
          <w:color w:val="000000"/>
          <w:sz w:val="24"/>
          <w:szCs w:val="24"/>
          <w:lang w:eastAsia="tr-TR"/>
        </w:rPr>
        <w:t>glutatyon</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peroksidaz</w:t>
      </w:r>
      <w:proofErr w:type="spellEnd"/>
      <w:r w:rsidRPr="00F77E79">
        <w:rPr>
          <w:rFonts w:ascii="Times New Roman" w:eastAsia="Times New Roman" w:hAnsi="Times New Roman" w:cs="Times New Roman"/>
          <w:color w:val="000000"/>
          <w:sz w:val="24"/>
          <w:szCs w:val="24"/>
          <w:lang w:eastAsia="tr-TR"/>
        </w:rPr>
        <w:t xml:space="preserve"> (GSH-</w:t>
      </w:r>
      <w:proofErr w:type="spellStart"/>
      <w:r w:rsidRPr="00F77E79">
        <w:rPr>
          <w:rFonts w:ascii="Times New Roman" w:eastAsia="Times New Roman" w:hAnsi="Times New Roman" w:cs="Times New Roman"/>
          <w:color w:val="000000"/>
          <w:sz w:val="24"/>
          <w:szCs w:val="24"/>
          <w:lang w:eastAsia="tr-TR"/>
        </w:rPr>
        <w:t>Px</w:t>
      </w:r>
      <w:proofErr w:type="spellEnd"/>
      <w:r w:rsidRPr="00F77E79">
        <w:rPr>
          <w:rFonts w:ascii="Times New Roman" w:eastAsia="Times New Roman" w:hAnsi="Times New Roman" w:cs="Times New Roman"/>
          <w:color w:val="000000"/>
          <w:sz w:val="24"/>
          <w:szCs w:val="24"/>
          <w:lang w:eastAsia="tr-TR"/>
        </w:rPr>
        <w:t>) gibi kritik antioksidan enzimlerin aktivitesinde artış saptanmış, bağışıklık yanıtının düzenlendiği, bağırsak bariyer fonksiyonlarının (</w:t>
      </w:r>
      <w:r w:rsidR="009B18FC">
        <w:rPr>
          <w:rFonts w:ascii="Times New Roman" w:eastAsia="Times New Roman" w:hAnsi="Times New Roman" w:cs="Times New Roman"/>
          <w:color w:val="000000"/>
          <w:sz w:val="24"/>
          <w:szCs w:val="24"/>
          <w:lang w:eastAsia="tr-TR"/>
        </w:rPr>
        <w:t>k</w:t>
      </w:r>
      <w:r w:rsidRPr="00F77E79">
        <w:rPr>
          <w:rFonts w:ascii="Times New Roman" w:eastAsia="Times New Roman" w:hAnsi="Times New Roman" w:cs="Times New Roman"/>
          <w:color w:val="000000"/>
          <w:sz w:val="24"/>
          <w:szCs w:val="24"/>
          <w:lang w:eastAsia="tr-TR"/>
        </w:rPr>
        <w:t xml:space="preserve">laudin-1 ve </w:t>
      </w:r>
      <w:proofErr w:type="spellStart"/>
      <w:r w:rsidR="009B18FC">
        <w:rPr>
          <w:rFonts w:ascii="Times New Roman" w:eastAsia="Times New Roman" w:hAnsi="Times New Roman" w:cs="Times New Roman"/>
          <w:color w:val="000000"/>
          <w:sz w:val="24"/>
          <w:szCs w:val="24"/>
          <w:lang w:eastAsia="tr-TR"/>
        </w:rPr>
        <w:t>ok</w:t>
      </w:r>
      <w:r w:rsidRPr="00F77E79">
        <w:rPr>
          <w:rFonts w:ascii="Times New Roman" w:eastAsia="Times New Roman" w:hAnsi="Times New Roman" w:cs="Times New Roman"/>
          <w:color w:val="000000"/>
          <w:sz w:val="24"/>
          <w:szCs w:val="24"/>
          <w:lang w:eastAsia="tr-TR"/>
        </w:rPr>
        <w:t>ludin</w:t>
      </w:r>
      <w:proofErr w:type="spellEnd"/>
      <w:r w:rsidRPr="00F77E79">
        <w:rPr>
          <w:rFonts w:ascii="Times New Roman" w:eastAsia="Times New Roman" w:hAnsi="Times New Roman" w:cs="Times New Roman"/>
          <w:color w:val="000000"/>
          <w:sz w:val="24"/>
          <w:szCs w:val="24"/>
          <w:lang w:eastAsia="tr-TR"/>
        </w:rPr>
        <w:t xml:space="preserve">) güçlendiği ve bağırsak </w:t>
      </w:r>
      <w:proofErr w:type="spellStart"/>
      <w:r w:rsidRPr="00F77E79">
        <w:rPr>
          <w:rFonts w:ascii="Times New Roman" w:eastAsia="Times New Roman" w:hAnsi="Times New Roman" w:cs="Times New Roman"/>
          <w:color w:val="000000"/>
          <w:sz w:val="24"/>
          <w:szCs w:val="24"/>
          <w:lang w:eastAsia="tr-TR"/>
        </w:rPr>
        <w:t>mikrobiyotasının</w:t>
      </w:r>
      <w:proofErr w:type="spellEnd"/>
      <w:r w:rsidRPr="00F77E79">
        <w:rPr>
          <w:rFonts w:ascii="Times New Roman" w:eastAsia="Times New Roman" w:hAnsi="Times New Roman" w:cs="Times New Roman"/>
          <w:color w:val="000000"/>
          <w:sz w:val="24"/>
          <w:szCs w:val="24"/>
          <w:lang w:eastAsia="tr-TR"/>
        </w:rPr>
        <w:t xml:space="preserve"> enfeksiyona dirençli bakteriler lehine modüle edildiği bildirilmiştir (</w:t>
      </w:r>
      <w:proofErr w:type="spellStart"/>
      <w:r w:rsidRPr="00F77E79">
        <w:rPr>
          <w:rFonts w:ascii="Times New Roman" w:eastAsia="Times New Roman" w:hAnsi="Times New Roman" w:cs="Times New Roman"/>
          <w:color w:val="000000"/>
          <w:sz w:val="24"/>
          <w:szCs w:val="24"/>
          <w:lang w:eastAsia="tr-TR"/>
        </w:rPr>
        <w:t>Huang</w:t>
      </w:r>
      <w:proofErr w:type="spellEnd"/>
      <w:r w:rsidRPr="00F77E79">
        <w:rPr>
          <w:rFonts w:ascii="Times New Roman" w:eastAsia="Times New Roman" w:hAnsi="Times New Roman" w:cs="Times New Roman"/>
          <w:color w:val="000000"/>
          <w:sz w:val="24"/>
          <w:szCs w:val="24"/>
          <w:lang w:eastAsia="tr-TR"/>
        </w:rPr>
        <w:t xml:space="preserve"> ve ark, 2024). Benzer bir çalışmada </w:t>
      </w:r>
      <w:proofErr w:type="spellStart"/>
      <w:r w:rsidRPr="00F77E79">
        <w:rPr>
          <w:rFonts w:ascii="Times New Roman" w:eastAsia="Times New Roman" w:hAnsi="Times New Roman" w:cs="Times New Roman"/>
          <w:color w:val="000000"/>
          <w:sz w:val="24"/>
          <w:szCs w:val="24"/>
          <w:lang w:eastAsia="tr-TR"/>
        </w:rPr>
        <w:t>kolitli</w:t>
      </w:r>
      <w:proofErr w:type="spellEnd"/>
      <w:r w:rsidRPr="00F77E79">
        <w:rPr>
          <w:rFonts w:ascii="Times New Roman" w:eastAsia="Times New Roman" w:hAnsi="Times New Roman" w:cs="Times New Roman"/>
          <w:color w:val="000000"/>
          <w:sz w:val="24"/>
          <w:szCs w:val="24"/>
          <w:lang w:eastAsia="tr-TR"/>
        </w:rPr>
        <w:t xml:space="preserve"> dokularda soya </w:t>
      </w:r>
      <w:proofErr w:type="spellStart"/>
      <w:r w:rsidRPr="00F77E79">
        <w:rPr>
          <w:rFonts w:ascii="Times New Roman" w:eastAsia="Times New Roman" w:hAnsi="Times New Roman" w:cs="Times New Roman"/>
          <w:color w:val="000000"/>
          <w:sz w:val="24"/>
          <w:szCs w:val="24"/>
          <w:lang w:eastAsia="tr-TR"/>
        </w:rPr>
        <w:t>lesitinini</w:t>
      </w:r>
      <w:proofErr w:type="spellEnd"/>
      <w:r w:rsidRPr="00F77E79">
        <w:rPr>
          <w:rFonts w:ascii="Times New Roman" w:eastAsia="Times New Roman" w:hAnsi="Times New Roman" w:cs="Times New Roman"/>
          <w:color w:val="000000"/>
          <w:sz w:val="24"/>
          <w:szCs w:val="24"/>
          <w:lang w:eastAsia="tr-TR"/>
        </w:rPr>
        <w:t xml:space="preserve"> taşıyıcı olarak kullanılarak %17 oranında </w:t>
      </w:r>
      <w:proofErr w:type="spellStart"/>
      <w:r w:rsidRPr="00F77E79">
        <w:rPr>
          <w:rFonts w:ascii="Times New Roman" w:eastAsia="Times New Roman" w:hAnsi="Times New Roman" w:cs="Times New Roman"/>
          <w:color w:val="000000"/>
          <w:sz w:val="24"/>
          <w:szCs w:val="24"/>
          <w:lang w:eastAsia="tr-TR"/>
        </w:rPr>
        <w:t>geraniolün</w:t>
      </w:r>
      <w:proofErr w:type="spellEnd"/>
      <w:r w:rsidRPr="00F77E79">
        <w:rPr>
          <w:rFonts w:ascii="Times New Roman" w:eastAsia="Times New Roman" w:hAnsi="Times New Roman" w:cs="Times New Roman"/>
          <w:color w:val="000000"/>
          <w:sz w:val="24"/>
          <w:szCs w:val="24"/>
          <w:lang w:eastAsia="tr-TR"/>
        </w:rPr>
        <w:t xml:space="preserve"> yer aldığı süspansiyonun hem </w:t>
      </w:r>
      <w:proofErr w:type="spellStart"/>
      <w:r w:rsidRPr="00F77E79">
        <w:rPr>
          <w:rFonts w:ascii="Times New Roman" w:eastAsia="Times New Roman" w:hAnsi="Times New Roman" w:cs="Times New Roman"/>
          <w:color w:val="000000"/>
          <w:sz w:val="24"/>
          <w:szCs w:val="24"/>
          <w:lang w:eastAsia="tr-TR"/>
        </w:rPr>
        <w:t>enflamasyonun</w:t>
      </w:r>
      <w:proofErr w:type="spellEnd"/>
      <w:r w:rsidRPr="00F77E79">
        <w:rPr>
          <w:rFonts w:ascii="Times New Roman" w:eastAsia="Times New Roman" w:hAnsi="Times New Roman" w:cs="Times New Roman"/>
          <w:color w:val="000000"/>
          <w:sz w:val="24"/>
          <w:szCs w:val="24"/>
          <w:lang w:eastAsia="tr-TR"/>
        </w:rPr>
        <w:t xml:space="preserve"> ana tetikleyicileri olan COX-2 gen ifadesini ve TNF-α ile IL-17 </w:t>
      </w:r>
      <w:proofErr w:type="spellStart"/>
      <w:r w:rsidRPr="00F77E79">
        <w:rPr>
          <w:rFonts w:ascii="Times New Roman" w:eastAsia="Times New Roman" w:hAnsi="Times New Roman" w:cs="Times New Roman"/>
          <w:color w:val="000000"/>
          <w:sz w:val="24"/>
          <w:szCs w:val="24"/>
          <w:lang w:eastAsia="tr-TR"/>
        </w:rPr>
        <w:t>sitokinlerini</w:t>
      </w:r>
      <w:proofErr w:type="spellEnd"/>
      <w:r w:rsidRPr="00F77E79">
        <w:rPr>
          <w:rFonts w:ascii="Times New Roman" w:eastAsia="Times New Roman" w:hAnsi="Times New Roman" w:cs="Times New Roman"/>
          <w:color w:val="000000"/>
          <w:sz w:val="24"/>
          <w:szCs w:val="24"/>
          <w:lang w:eastAsia="tr-TR"/>
        </w:rPr>
        <w:t xml:space="preserve"> sistemik olarak baskıladığını ayrıca lökosit sızmasını engelleyerek doku bütünlüğünü histolojik düzeyde koruduğu ve </w:t>
      </w:r>
      <w:proofErr w:type="spellStart"/>
      <w:r w:rsidRPr="00F77E79">
        <w:rPr>
          <w:rFonts w:ascii="Times New Roman" w:eastAsia="Times New Roman" w:hAnsi="Times New Roman" w:cs="Times New Roman"/>
          <w:color w:val="000000"/>
          <w:sz w:val="24"/>
          <w:szCs w:val="24"/>
          <w:lang w:eastAsia="tr-TR"/>
        </w:rPr>
        <w:t>antidisbiyotik</w:t>
      </w:r>
      <w:proofErr w:type="spellEnd"/>
      <w:r w:rsidRPr="00F77E79">
        <w:rPr>
          <w:rFonts w:ascii="Times New Roman" w:eastAsia="Times New Roman" w:hAnsi="Times New Roman" w:cs="Times New Roman"/>
          <w:color w:val="000000"/>
          <w:sz w:val="24"/>
          <w:szCs w:val="24"/>
          <w:lang w:eastAsia="tr-TR"/>
        </w:rPr>
        <w:t xml:space="preserve"> olarak önemli bir ajan olabileceği bildirilmiştir (De </w:t>
      </w:r>
      <w:proofErr w:type="spellStart"/>
      <w:r w:rsidRPr="00F77E79">
        <w:rPr>
          <w:rFonts w:ascii="Times New Roman" w:eastAsia="Times New Roman" w:hAnsi="Times New Roman" w:cs="Times New Roman"/>
          <w:color w:val="000000"/>
          <w:sz w:val="24"/>
          <w:szCs w:val="24"/>
          <w:lang w:eastAsia="tr-TR"/>
        </w:rPr>
        <w:t>Fazio</w:t>
      </w:r>
      <w:proofErr w:type="spellEnd"/>
      <w:r w:rsidRPr="00F77E79">
        <w:rPr>
          <w:rFonts w:ascii="Times New Roman" w:eastAsia="Times New Roman" w:hAnsi="Times New Roman" w:cs="Times New Roman"/>
          <w:color w:val="000000"/>
          <w:sz w:val="24"/>
          <w:szCs w:val="24"/>
          <w:lang w:eastAsia="tr-TR"/>
        </w:rPr>
        <w:t xml:space="preserve"> ve ark, 2016).</w:t>
      </w:r>
    </w:p>
    <w:p w14:paraId="2B0BAAFB" w14:textId="75BAF031" w:rsidR="00F77E79" w:rsidRPr="00F77E79" w:rsidRDefault="00F77E79" w:rsidP="009C516A">
      <w:pPr>
        <w:spacing w:before="120" w:after="120" w:line="276" w:lineRule="auto"/>
        <w:ind w:firstLine="72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18-65 yaş arasında 48-104 kg vücut ağırlığı</w:t>
      </w:r>
      <w:r w:rsidR="009B18FC">
        <w:rPr>
          <w:rFonts w:ascii="Times New Roman" w:eastAsia="Times New Roman" w:hAnsi="Times New Roman" w:cs="Times New Roman"/>
          <w:color w:val="000000"/>
          <w:sz w:val="24"/>
          <w:szCs w:val="24"/>
          <w:lang w:eastAsia="tr-TR"/>
        </w:rPr>
        <w:t>nda</w:t>
      </w:r>
      <w:r w:rsidRPr="00F77E79">
        <w:rPr>
          <w:rFonts w:ascii="Times New Roman" w:eastAsia="Times New Roman" w:hAnsi="Times New Roman" w:cs="Times New Roman"/>
          <w:color w:val="000000"/>
          <w:sz w:val="24"/>
          <w:szCs w:val="24"/>
          <w:lang w:eastAsia="tr-TR"/>
        </w:rPr>
        <w:t xml:space="preserve"> 19 huzursuz bağırsak sendromu (IBS) tanılı hastada</w:t>
      </w:r>
      <w:r w:rsidR="00DE355C">
        <w:rPr>
          <w:rFonts w:ascii="Times New Roman" w:eastAsia="Times New Roman" w:hAnsi="Times New Roman" w:cs="Times New Roman"/>
          <w:color w:val="000000"/>
          <w:sz w:val="24"/>
          <w:szCs w:val="24"/>
          <w:lang w:eastAsia="tr-TR"/>
        </w:rPr>
        <w:t>,</w:t>
      </w:r>
      <w:r w:rsidRPr="00F77E79">
        <w:rPr>
          <w:rFonts w:ascii="Times New Roman" w:eastAsia="Times New Roman" w:hAnsi="Times New Roman" w:cs="Times New Roman"/>
          <w:color w:val="000000"/>
          <w:sz w:val="24"/>
          <w:szCs w:val="24"/>
          <w:lang w:eastAsia="tr-TR"/>
        </w:rPr>
        <w:t xml:space="preserve"> dört hafta boyunca günlük maksimum 8 mg/kg vücut ağırlığı dozunda oral yolla uygulanan soya </w:t>
      </w:r>
      <w:proofErr w:type="spellStart"/>
      <w:r w:rsidRPr="00F77E79">
        <w:rPr>
          <w:rFonts w:ascii="Times New Roman" w:eastAsia="Times New Roman" w:hAnsi="Times New Roman" w:cs="Times New Roman"/>
          <w:color w:val="000000"/>
          <w:sz w:val="24"/>
          <w:szCs w:val="24"/>
          <w:lang w:eastAsia="tr-TR"/>
        </w:rPr>
        <w:t>lesitini</w:t>
      </w:r>
      <w:proofErr w:type="spellEnd"/>
      <w:r w:rsidRPr="00F77E79">
        <w:rPr>
          <w:rFonts w:ascii="Times New Roman" w:eastAsia="Times New Roman" w:hAnsi="Times New Roman" w:cs="Times New Roman"/>
          <w:color w:val="000000"/>
          <w:sz w:val="24"/>
          <w:szCs w:val="24"/>
          <w:lang w:eastAsia="tr-TR"/>
        </w:rPr>
        <w:t xml:space="preserve"> miselleri içine hapsedilmiş </w:t>
      </w:r>
      <w:proofErr w:type="spellStart"/>
      <w:r w:rsidRPr="00F77E79">
        <w:rPr>
          <w:rFonts w:ascii="Times New Roman" w:eastAsia="Times New Roman" w:hAnsi="Times New Roman" w:cs="Times New Roman"/>
          <w:color w:val="000000"/>
          <w:sz w:val="24"/>
          <w:szCs w:val="24"/>
          <w:lang w:eastAsia="tr-TR"/>
        </w:rPr>
        <w:t>geraniol</w:t>
      </w:r>
      <w:proofErr w:type="spellEnd"/>
      <w:r w:rsidRPr="00F77E79">
        <w:rPr>
          <w:rFonts w:ascii="Times New Roman" w:eastAsia="Times New Roman" w:hAnsi="Times New Roman" w:cs="Times New Roman"/>
          <w:color w:val="000000"/>
          <w:sz w:val="24"/>
          <w:szCs w:val="24"/>
          <w:lang w:eastAsia="tr-TR"/>
        </w:rPr>
        <w:t xml:space="preserve"> uygulaması ile </w:t>
      </w:r>
      <w:proofErr w:type="spellStart"/>
      <w:r w:rsidRPr="00F77E79">
        <w:rPr>
          <w:rFonts w:ascii="Times New Roman" w:eastAsia="Times New Roman" w:hAnsi="Times New Roman" w:cs="Times New Roman"/>
          <w:i/>
          <w:iCs/>
          <w:color w:val="000000"/>
          <w:sz w:val="24"/>
          <w:szCs w:val="24"/>
          <w:lang w:eastAsia="tr-TR"/>
        </w:rPr>
        <w:t>Collinsella</w:t>
      </w:r>
      <w:proofErr w:type="spellEnd"/>
      <w:r w:rsidRPr="00F77E79">
        <w:rPr>
          <w:rFonts w:ascii="Times New Roman" w:eastAsia="Times New Roman" w:hAnsi="Times New Roman" w:cs="Times New Roman"/>
          <w:color w:val="000000"/>
          <w:sz w:val="24"/>
          <w:szCs w:val="24"/>
          <w:lang w:eastAsia="tr-TR"/>
        </w:rPr>
        <w:t xml:space="preserve"> ve </w:t>
      </w:r>
      <w:proofErr w:type="spellStart"/>
      <w:r w:rsidRPr="00F77E79">
        <w:rPr>
          <w:rFonts w:ascii="Times New Roman" w:eastAsia="Times New Roman" w:hAnsi="Times New Roman" w:cs="Times New Roman"/>
          <w:color w:val="000000"/>
          <w:sz w:val="24"/>
          <w:szCs w:val="24"/>
          <w:lang w:eastAsia="tr-TR"/>
        </w:rPr>
        <w:t>bütirat</w:t>
      </w:r>
      <w:proofErr w:type="spellEnd"/>
      <w:r w:rsidRPr="00F77E79">
        <w:rPr>
          <w:rFonts w:ascii="Times New Roman" w:eastAsia="Times New Roman" w:hAnsi="Times New Roman" w:cs="Times New Roman"/>
          <w:color w:val="000000"/>
          <w:sz w:val="24"/>
          <w:szCs w:val="24"/>
          <w:lang w:eastAsia="tr-TR"/>
        </w:rPr>
        <w:t xml:space="preserve"> üreticisi olan </w:t>
      </w:r>
      <w:proofErr w:type="spellStart"/>
      <w:r w:rsidRPr="00F77E79">
        <w:rPr>
          <w:rFonts w:ascii="Times New Roman" w:eastAsia="Times New Roman" w:hAnsi="Times New Roman" w:cs="Times New Roman"/>
          <w:i/>
          <w:iCs/>
          <w:color w:val="000000"/>
          <w:sz w:val="24"/>
          <w:szCs w:val="24"/>
          <w:lang w:eastAsia="tr-TR"/>
        </w:rPr>
        <w:t>Faecalibacterium</w:t>
      </w:r>
      <w:proofErr w:type="spellEnd"/>
      <w:r w:rsidRPr="00F77E79">
        <w:rPr>
          <w:rFonts w:ascii="Times New Roman" w:eastAsia="Times New Roman" w:hAnsi="Times New Roman" w:cs="Times New Roman"/>
          <w:color w:val="000000"/>
          <w:sz w:val="24"/>
          <w:szCs w:val="24"/>
          <w:lang w:eastAsia="tr-TR"/>
        </w:rPr>
        <w:t xml:space="preserve"> seviyelerinde artış ve IBS hastalarında genellikle yüksek olan </w:t>
      </w:r>
      <w:proofErr w:type="spellStart"/>
      <w:r w:rsidRPr="00F77E79">
        <w:rPr>
          <w:rFonts w:ascii="Times New Roman" w:eastAsia="Times New Roman" w:hAnsi="Times New Roman" w:cs="Times New Roman"/>
          <w:i/>
          <w:iCs/>
          <w:color w:val="000000"/>
          <w:sz w:val="24"/>
          <w:szCs w:val="24"/>
          <w:lang w:eastAsia="tr-TR"/>
        </w:rPr>
        <w:t>Bacteroides</w:t>
      </w:r>
      <w:proofErr w:type="spellEnd"/>
      <w:r w:rsidRPr="00F77E79">
        <w:rPr>
          <w:rFonts w:ascii="Times New Roman" w:eastAsia="Times New Roman" w:hAnsi="Times New Roman" w:cs="Times New Roman"/>
          <w:color w:val="000000"/>
          <w:sz w:val="24"/>
          <w:szCs w:val="24"/>
          <w:lang w:eastAsia="tr-TR"/>
        </w:rPr>
        <w:t xml:space="preserve"> ve </w:t>
      </w:r>
      <w:proofErr w:type="spellStart"/>
      <w:r w:rsidRPr="00F77E79">
        <w:rPr>
          <w:rFonts w:ascii="Times New Roman" w:eastAsia="Times New Roman" w:hAnsi="Times New Roman" w:cs="Times New Roman"/>
          <w:i/>
          <w:iCs/>
          <w:color w:val="000000"/>
          <w:sz w:val="24"/>
          <w:szCs w:val="24"/>
          <w:lang w:eastAsia="tr-TR"/>
        </w:rPr>
        <w:t>Prevotella</w:t>
      </w:r>
      <w:proofErr w:type="spellEnd"/>
      <w:r w:rsidRPr="00F77E79">
        <w:rPr>
          <w:rFonts w:ascii="Times New Roman" w:eastAsia="Times New Roman" w:hAnsi="Times New Roman" w:cs="Times New Roman"/>
          <w:color w:val="000000"/>
          <w:sz w:val="24"/>
          <w:szCs w:val="24"/>
          <w:lang w:eastAsia="tr-TR"/>
        </w:rPr>
        <w:t xml:space="preserve"> türlerinde azalma eğilimi bildirilmiştir. Ayrıca bu ikilinin sistemik </w:t>
      </w:r>
      <w:proofErr w:type="spellStart"/>
      <w:r w:rsidRPr="00F77E79">
        <w:rPr>
          <w:rFonts w:ascii="Times New Roman" w:eastAsia="Times New Roman" w:hAnsi="Times New Roman" w:cs="Times New Roman"/>
          <w:color w:val="000000"/>
          <w:sz w:val="24"/>
          <w:szCs w:val="24"/>
          <w:lang w:eastAsia="tr-TR"/>
        </w:rPr>
        <w:t>inflamasyon</w:t>
      </w:r>
      <w:proofErr w:type="spellEnd"/>
      <w:r w:rsidRPr="00F77E79">
        <w:rPr>
          <w:rFonts w:ascii="Times New Roman" w:eastAsia="Times New Roman" w:hAnsi="Times New Roman" w:cs="Times New Roman"/>
          <w:color w:val="000000"/>
          <w:sz w:val="24"/>
          <w:szCs w:val="24"/>
          <w:lang w:eastAsia="tr-TR"/>
        </w:rPr>
        <w:t xml:space="preserve"> belirteçlerinde (</w:t>
      </w:r>
      <w:proofErr w:type="spellStart"/>
      <w:r w:rsidRPr="00F77E79">
        <w:rPr>
          <w:rFonts w:ascii="Times New Roman" w:eastAsia="Times New Roman" w:hAnsi="Times New Roman" w:cs="Times New Roman"/>
          <w:color w:val="000000"/>
          <w:sz w:val="24"/>
          <w:szCs w:val="24"/>
          <w:lang w:eastAsia="tr-TR"/>
        </w:rPr>
        <w:t>Makrofaj</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enflamatuvar</w:t>
      </w:r>
      <w:proofErr w:type="spellEnd"/>
      <w:r w:rsidRPr="00F77E79">
        <w:rPr>
          <w:rFonts w:ascii="Times New Roman" w:eastAsia="Times New Roman" w:hAnsi="Times New Roman" w:cs="Times New Roman"/>
          <w:color w:val="000000"/>
          <w:sz w:val="24"/>
          <w:szCs w:val="24"/>
          <w:lang w:eastAsia="tr-TR"/>
        </w:rPr>
        <w:t xml:space="preserve"> protein, MIP-1β, </w:t>
      </w:r>
      <w:proofErr w:type="spellStart"/>
      <w:r w:rsidRPr="00F77E79">
        <w:rPr>
          <w:rFonts w:ascii="Times New Roman" w:eastAsia="Times New Roman" w:hAnsi="Times New Roman" w:cs="Times New Roman"/>
          <w:color w:val="000000"/>
          <w:sz w:val="24"/>
          <w:szCs w:val="24"/>
          <w:lang w:eastAsia="tr-TR"/>
        </w:rPr>
        <w:t>Monosit</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kemoatraktan</w:t>
      </w:r>
      <w:proofErr w:type="spellEnd"/>
      <w:r w:rsidRPr="00F77E79">
        <w:rPr>
          <w:rFonts w:ascii="Times New Roman" w:eastAsia="Times New Roman" w:hAnsi="Times New Roman" w:cs="Times New Roman"/>
          <w:color w:val="000000"/>
          <w:sz w:val="24"/>
          <w:szCs w:val="24"/>
          <w:lang w:eastAsia="tr-TR"/>
        </w:rPr>
        <w:t xml:space="preserve"> protein MCP-1, IL-6, IL-17A) istatistiksel olarak anlamlı düzeyde geçici düşüşe sebep olduğu belirlenmiştir (</w:t>
      </w:r>
      <w:proofErr w:type="spellStart"/>
      <w:r w:rsidRPr="00F77E79">
        <w:rPr>
          <w:rFonts w:ascii="Times New Roman" w:eastAsia="Times New Roman" w:hAnsi="Times New Roman" w:cs="Times New Roman"/>
          <w:color w:val="000000"/>
          <w:sz w:val="24"/>
          <w:szCs w:val="24"/>
          <w:lang w:eastAsia="tr-TR"/>
        </w:rPr>
        <w:t>Rizello</w:t>
      </w:r>
      <w:proofErr w:type="spellEnd"/>
      <w:r w:rsidRPr="00F77E79">
        <w:rPr>
          <w:rFonts w:ascii="Times New Roman" w:eastAsia="Times New Roman" w:hAnsi="Times New Roman" w:cs="Times New Roman"/>
          <w:color w:val="000000"/>
          <w:sz w:val="24"/>
          <w:szCs w:val="24"/>
          <w:lang w:eastAsia="tr-TR"/>
        </w:rPr>
        <w:t xml:space="preserve"> ve ark, 2018). </w:t>
      </w:r>
    </w:p>
    <w:p w14:paraId="79AB27F0" w14:textId="6D4D63BA" w:rsidR="00F77E79" w:rsidRPr="00F77E79" w:rsidRDefault="00F77E79" w:rsidP="009C516A">
      <w:pPr>
        <w:spacing w:before="120" w:after="120" w:line="276" w:lineRule="auto"/>
        <w:ind w:firstLine="72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Benzer hedef grubu ile 2022 yılında 56 IBS hastası (27’si </w:t>
      </w:r>
      <w:proofErr w:type="spellStart"/>
      <w:r w:rsidRPr="00F77E79">
        <w:rPr>
          <w:rFonts w:ascii="Times New Roman" w:eastAsia="Times New Roman" w:hAnsi="Times New Roman" w:cs="Times New Roman"/>
          <w:color w:val="000000"/>
          <w:sz w:val="24"/>
          <w:szCs w:val="24"/>
          <w:lang w:eastAsia="tr-TR"/>
        </w:rPr>
        <w:t>plasebo</w:t>
      </w:r>
      <w:proofErr w:type="spellEnd"/>
      <w:r w:rsidRPr="00F77E79">
        <w:rPr>
          <w:rFonts w:ascii="Times New Roman" w:eastAsia="Times New Roman" w:hAnsi="Times New Roman" w:cs="Times New Roman"/>
          <w:color w:val="000000"/>
          <w:sz w:val="24"/>
          <w:szCs w:val="24"/>
          <w:lang w:eastAsia="tr-TR"/>
        </w:rPr>
        <w:t xml:space="preserve"> kontrolü) ile </w:t>
      </w:r>
      <w:proofErr w:type="spellStart"/>
      <w:r w:rsidRPr="00F77E79">
        <w:rPr>
          <w:rFonts w:ascii="Times New Roman" w:eastAsia="Times New Roman" w:hAnsi="Times New Roman" w:cs="Times New Roman"/>
          <w:color w:val="000000"/>
          <w:sz w:val="24"/>
          <w:szCs w:val="24"/>
          <w:lang w:eastAsia="tr-TR"/>
        </w:rPr>
        <w:t>randomize</w:t>
      </w:r>
      <w:proofErr w:type="spellEnd"/>
      <w:r w:rsidRPr="00F77E79">
        <w:rPr>
          <w:rFonts w:ascii="Times New Roman" w:eastAsia="Times New Roman" w:hAnsi="Times New Roman" w:cs="Times New Roman"/>
          <w:color w:val="000000"/>
          <w:sz w:val="24"/>
          <w:szCs w:val="24"/>
          <w:lang w:eastAsia="tr-TR"/>
        </w:rPr>
        <w:t xml:space="preserve">, çift-kör ve </w:t>
      </w:r>
      <w:proofErr w:type="spellStart"/>
      <w:r w:rsidRPr="00F77E79">
        <w:rPr>
          <w:rFonts w:ascii="Times New Roman" w:eastAsia="Times New Roman" w:hAnsi="Times New Roman" w:cs="Times New Roman"/>
          <w:color w:val="000000"/>
          <w:sz w:val="24"/>
          <w:szCs w:val="24"/>
          <w:lang w:eastAsia="tr-TR"/>
        </w:rPr>
        <w:t>plasebo</w:t>
      </w:r>
      <w:proofErr w:type="spellEnd"/>
      <w:r w:rsidRPr="00F77E79">
        <w:rPr>
          <w:rFonts w:ascii="Times New Roman" w:eastAsia="Times New Roman" w:hAnsi="Times New Roman" w:cs="Times New Roman"/>
          <w:color w:val="000000"/>
          <w:sz w:val="24"/>
          <w:szCs w:val="24"/>
          <w:lang w:eastAsia="tr-TR"/>
        </w:rPr>
        <w:t xml:space="preserve"> kontrollü bir </w:t>
      </w:r>
      <w:r w:rsidR="009B18FC" w:rsidRPr="00F77E79">
        <w:rPr>
          <w:rFonts w:ascii="Times New Roman" w:eastAsia="Times New Roman" w:hAnsi="Times New Roman" w:cs="Times New Roman"/>
          <w:color w:val="000000"/>
          <w:sz w:val="24"/>
          <w:szCs w:val="24"/>
          <w:lang w:eastAsia="tr-TR"/>
        </w:rPr>
        <w:t>çalışmada</w:t>
      </w:r>
      <w:r w:rsidRPr="00F77E79">
        <w:rPr>
          <w:rFonts w:ascii="Times New Roman" w:eastAsia="Times New Roman" w:hAnsi="Times New Roman" w:cs="Times New Roman"/>
          <w:color w:val="000000"/>
          <w:sz w:val="24"/>
          <w:szCs w:val="24"/>
          <w:lang w:eastAsia="tr-TR"/>
        </w:rPr>
        <w:t xml:space="preserve">, bu hastalara vücut ağırlıklarına göre 2-4 kapsül/gün olmak üzere 4 hafta boyunca oral yoldan 450 </w:t>
      </w:r>
      <w:proofErr w:type="spellStart"/>
      <w:r w:rsidRPr="00F77E79">
        <w:rPr>
          <w:rFonts w:ascii="Times New Roman" w:eastAsia="Times New Roman" w:hAnsi="Times New Roman" w:cs="Times New Roman"/>
          <w:color w:val="000000"/>
          <w:sz w:val="24"/>
          <w:szCs w:val="24"/>
          <w:lang w:eastAsia="tr-TR"/>
        </w:rPr>
        <w:t>mg</w:t>
      </w:r>
      <w:r w:rsidR="00C94279">
        <w:rPr>
          <w:rFonts w:ascii="Times New Roman" w:eastAsia="Times New Roman" w:hAnsi="Times New Roman" w:cs="Times New Roman"/>
          <w:color w:val="000000"/>
          <w:sz w:val="24"/>
          <w:szCs w:val="24"/>
          <w:lang w:eastAsia="tr-TR"/>
        </w:rPr>
        <w:t>’</w:t>
      </w:r>
      <w:r w:rsidRPr="00F77E79">
        <w:rPr>
          <w:rFonts w:ascii="Times New Roman" w:eastAsia="Times New Roman" w:hAnsi="Times New Roman" w:cs="Times New Roman"/>
          <w:color w:val="000000"/>
          <w:sz w:val="24"/>
          <w:szCs w:val="24"/>
          <w:lang w:eastAsia="tr-TR"/>
        </w:rPr>
        <w:t>lık</w:t>
      </w:r>
      <w:proofErr w:type="spellEnd"/>
      <w:r w:rsidRPr="00F77E79">
        <w:rPr>
          <w:rFonts w:ascii="Times New Roman" w:eastAsia="Times New Roman" w:hAnsi="Times New Roman" w:cs="Times New Roman"/>
          <w:color w:val="000000"/>
          <w:sz w:val="24"/>
          <w:szCs w:val="24"/>
          <w:lang w:eastAsia="tr-TR"/>
        </w:rPr>
        <w:t xml:space="preserve"> </w:t>
      </w:r>
      <w:proofErr w:type="spellStart"/>
      <w:r w:rsidRPr="00F77E79">
        <w:rPr>
          <w:rFonts w:ascii="Times New Roman" w:eastAsia="Times New Roman" w:hAnsi="Times New Roman" w:cs="Times New Roman"/>
          <w:color w:val="000000"/>
          <w:sz w:val="24"/>
          <w:szCs w:val="24"/>
          <w:lang w:eastAsia="tr-TR"/>
        </w:rPr>
        <w:t>BIOintestil</w:t>
      </w:r>
      <w:proofErr w:type="spellEnd"/>
      <w:r w:rsidRPr="00F77E79">
        <w:rPr>
          <w:rFonts w:ascii="Times New Roman" w:eastAsia="Times New Roman" w:hAnsi="Times New Roman" w:cs="Times New Roman"/>
          <w:color w:val="000000"/>
          <w:sz w:val="24"/>
          <w:szCs w:val="24"/>
          <w:lang w:eastAsia="tr-TR"/>
        </w:rPr>
        <w:t xml:space="preserve">® (360 mg toz </w:t>
      </w:r>
      <w:r w:rsidRPr="00F77E79">
        <w:rPr>
          <w:rFonts w:ascii="Times New Roman" w:eastAsia="Times New Roman" w:hAnsi="Times New Roman" w:cs="Times New Roman"/>
          <w:color w:val="000000"/>
          <w:sz w:val="24"/>
          <w:szCs w:val="24"/>
          <w:lang w:eastAsia="tr-TR"/>
        </w:rPr>
        <w:lastRenderedPageBreak/>
        <w:t xml:space="preserve">haline getirilmiş kuru </w:t>
      </w:r>
      <w:proofErr w:type="spellStart"/>
      <w:r w:rsidRPr="00F77E79">
        <w:rPr>
          <w:rFonts w:ascii="Times New Roman" w:eastAsia="Times New Roman" w:hAnsi="Times New Roman" w:cs="Times New Roman"/>
          <w:i/>
          <w:iCs/>
          <w:color w:val="000000"/>
          <w:sz w:val="24"/>
          <w:szCs w:val="24"/>
          <w:lang w:eastAsia="tr-TR"/>
        </w:rPr>
        <w:t>Zingiber</w:t>
      </w:r>
      <w:proofErr w:type="spellEnd"/>
      <w:r w:rsidRPr="00F77E79">
        <w:rPr>
          <w:rFonts w:ascii="Times New Roman" w:eastAsia="Times New Roman" w:hAnsi="Times New Roman" w:cs="Times New Roman"/>
          <w:i/>
          <w:iCs/>
          <w:color w:val="000000"/>
          <w:sz w:val="24"/>
          <w:szCs w:val="24"/>
          <w:lang w:eastAsia="tr-TR"/>
        </w:rPr>
        <w:t xml:space="preserve"> </w:t>
      </w:r>
      <w:proofErr w:type="spellStart"/>
      <w:r w:rsidRPr="00F77E79">
        <w:rPr>
          <w:rFonts w:ascii="Times New Roman" w:eastAsia="Times New Roman" w:hAnsi="Times New Roman" w:cs="Times New Roman"/>
          <w:i/>
          <w:iCs/>
          <w:color w:val="000000"/>
          <w:sz w:val="24"/>
          <w:szCs w:val="24"/>
          <w:lang w:eastAsia="tr-TR"/>
        </w:rPr>
        <w:t>officinalis</w:t>
      </w:r>
      <w:proofErr w:type="spellEnd"/>
      <w:r w:rsidRPr="00F77E79">
        <w:rPr>
          <w:rFonts w:ascii="Times New Roman" w:eastAsia="Times New Roman" w:hAnsi="Times New Roman" w:cs="Times New Roman"/>
          <w:color w:val="000000"/>
          <w:sz w:val="24"/>
          <w:szCs w:val="24"/>
          <w:lang w:eastAsia="tr-TR"/>
        </w:rPr>
        <w:t xml:space="preserve"> kökü üzerine emdirilmiş, yüksek </w:t>
      </w:r>
      <w:proofErr w:type="spellStart"/>
      <w:r w:rsidRPr="00F77E79">
        <w:rPr>
          <w:rFonts w:ascii="Times New Roman" w:eastAsia="Times New Roman" w:hAnsi="Times New Roman" w:cs="Times New Roman"/>
          <w:color w:val="000000"/>
          <w:sz w:val="24"/>
          <w:szCs w:val="24"/>
          <w:lang w:eastAsia="tr-TR"/>
        </w:rPr>
        <w:t>geraniol</w:t>
      </w:r>
      <w:proofErr w:type="spellEnd"/>
      <w:r w:rsidRPr="00F77E79">
        <w:rPr>
          <w:rFonts w:ascii="Times New Roman" w:eastAsia="Times New Roman" w:hAnsi="Times New Roman" w:cs="Times New Roman"/>
          <w:color w:val="000000"/>
          <w:sz w:val="24"/>
          <w:szCs w:val="24"/>
          <w:lang w:eastAsia="tr-TR"/>
        </w:rPr>
        <w:t xml:space="preserve"> içerikli 90 mg </w:t>
      </w:r>
      <w:proofErr w:type="spellStart"/>
      <w:r w:rsidR="009B18FC">
        <w:rPr>
          <w:rFonts w:ascii="Times New Roman" w:eastAsia="Times New Roman" w:hAnsi="Times New Roman" w:cs="Times New Roman"/>
          <w:color w:val="000000"/>
          <w:sz w:val="24"/>
          <w:szCs w:val="24"/>
          <w:lang w:eastAsia="tr-TR"/>
        </w:rPr>
        <w:t>p</w:t>
      </w:r>
      <w:r w:rsidRPr="00F77E79">
        <w:rPr>
          <w:rFonts w:ascii="Times New Roman" w:eastAsia="Times New Roman" w:hAnsi="Times New Roman" w:cs="Times New Roman"/>
          <w:color w:val="000000"/>
          <w:sz w:val="24"/>
          <w:szCs w:val="24"/>
          <w:lang w:eastAsia="tr-TR"/>
        </w:rPr>
        <w:t>almaro</w:t>
      </w:r>
      <w:r w:rsidR="009B18FC">
        <w:rPr>
          <w:rFonts w:ascii="Times New Roman" w:eastAsia="Times New Roman" w:hAnsi="Times New Roman" w:cs="Times New Roman"/>
          <w:color w:val="000000"/>
          <w:sz w:val="24"/>
          <w:szCs w:val="24"/>
          <w:lang w:eastAsia="tr-TR"/>
        </w:rPr>
        <w:t>z</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uçucu yağı; Avrupa patenti EP3097921) vermiştir. IBS hastalarında karın ağrısı şiddeti ve sıklığı ile şişkinlik gibi temel şikayetler </w:t>
      </w:r>
      <w:proofErr w:type="spellStart"/>
      <w:r w:rsidRPr="00F77E79">
        <w:rPr>
          <w:rFonts w:ascii="Times New Roman" w:eastAsia="Times New Roman" w:hAnsi="Times New Roman" w:cs="Times New Roman"/>
          <w:color w:val="000000"/>
          <w:sz w:val="24"/>
          <w:szCs w:val="24"/>
          <w:lang w:eastAsia="tr-TR"/>
        </w:rPr>
        <w:t>plaseboya</w:t>
      </w:r>
      <w:proofErr w:type="spellEnd"/>
      <w:r w:rsidRPr="00F77E79">
        <w:rPr>
          <w:rFonts w:ascii="Times New Roman" w:eastAsia="Times New Roman" w:hAnsi="Times New Roman" w:cs="Times New Roman"/>
          <w:color w:val="000000"/>
          <w:sz w:val="24"/>
          <w:szCs w:val="24"/>
          <w:lang w:eastAsia="tr-TR"/>
        </w:rPr>
        <w:t xml:space="preserve"> göre anlamlı derecede azalmış, ishal ve kabızlığa sahip karma hastalarda da karın ağrısı şiddeti ve sıklığı ile şişkinlik gibi temel şikayetler yine </w:t>
      </w:r>
      <w:proofErr w:type="spellStart"/>
      <w:r w:rsidRPr="00F77E79">
        <w:rPr>
          <w:rFonts w:ascii="Times New Roman" w:eastAsia="Times New Roman" w:hAnsi="Times New Roman" w:cs="Times New Roman"/>
          <w:color w:val="000000"/>
          <w:sz w:val="24"/>
          <w:szCs w:val="24"/>
          <w:lang w:eastAsia="tr-TR"/>
        </w:rPr>
        <w:t>plasebo</w:t>
      </w:r>
      <w:proofErr w:type="spellEnd"/>
      <w:r w:rsidRPr="00F77E79">
        <w:rPr>
          <w:rFonts w:ascii="Times New Roman" w:eastAsia="Times New Roman" w:hAnsi="Times New Roman" w:cs="Times New Roman"/>
          <w:color w:val="000000"/>
          <w:sz w:val="24"/>
          <w:szCs w:val="24"/>
          <w:lang w:eastAsia="tr-TR"/>
        </w:rPr>
        <w:t xml:space="preserve"> grubuna göre anlamlı derecede azalma göstermiştir (</w:t>
      </w:r>
      <w:proofErr w:type="spellStart"/>
      <w:r w:rsidRPr="00F77E79">
        <w:rPr>
          <w:rFonts w:ascii="Times New Roman" w:eastAsia="Times New Roman" w:hAnsi="Times New Roman" w:cs="Times New Roman"/>
          <w:color w:val="000000"/>
          <w:sz w:val="24"/>
          <w:szCs w:val="24"/>
          <w:lang w:eastAsia="tr-TR"/>
        </w:rPr>
        <w:t>Ricci</w:t>
      </w:r>
      <w:proofErr w:type="spellEnd"/>
      <w:r w:rsidRPr="00F77E79">
        <w:rPr>
          <w:rFonts w:ascii="Times New Roman" w:eastAsia="Times New Roman" w:hAnsi="Times New Roman" w:cs="Times New Roman"/>
          <w:color w:val="000000"/>
          <w:sz w:val="24"/>
          <w:szCs w:val="24"/>
          <w:lang w:eastAsia="tr-TR"/>
        </w:rPr>
        <w:t>, 2022). </w:t>
      </w:r>
    </w:p>
    <w:p w14:paraId="36280A57" w14:textId="53FB1EB3" w:rsidR="00F77E79" w:rsidRPr="00F77E79" w:rsidRDefault="00F77E79" w:rsidP="009C516A">
      <w:pPr>
        <w:spacing w:before="120" w:after="120" w:line="276" w:lineRule="auto"/>
        <w:ind w:firstLine="720"/>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color w:val="000000"/>
          <w:sz w:val="24"/>
          <w:szCs w:val="24"/>
          <w:lang w:eastAsia="tr-TR"/>
        </w:rPr>
        <w:t xml:space="preserve">2025 yılında kısmen aynı araştırma grubunun gerçekleştirmiş olduğu; İtalya'da IBS tanısı konmuş, yaş ortalaması 44,8 olan ve %56,4'ü kadınlardan oluşan 1585 hasta ile yapılan gerçek yaşam koşullarında yürütülen kontrolsüz çalışmada; hastalara 4 hafta boyunca 240 mg/gün </w:t>
      </w:r>
      <w:proofErr w:type="spellStart"/>
      <w:r w:rsidR="009B18FC">
        <w:rPr>
          <w:rFonts w:ascii="Times New Roman" w:eastAsia="Times New Roman" w:hAnsi="Times New Roman" w:cs="Times New Roman"/>
          <w:color w:val="000000"/>
          <w:sz w:val="24"/>
          <w:szCs w:val="24"/>
          <w:lang w:eastAsia="tr-TR"/>
        </w:rPr>
        <w:t>p</w:t>
      </w:r>
      <w:r w:rsidRPr="00F77E79">
        <w:rPr>
          <w:rFonts w:ascii="Times New Roman" w:eastAsia="Times New Roman" w:hAnsi="Times New Roman" w:cs="Times New Roman"/>
          <w:color w:val="000000"/>
          <w:sz w:val="24"/>
          <w:szCs w:val="24"/>
          <w:lang w:eastAsia="tr-TR"/>
        </w:rPr>
        <w:t>almaro</w:t>
      </w:r>
      <w:r w:rsidR="009B18FC">
        <w:rPr>
          <w:rFonts w:ascii="Times New Roman" w:eastAsia="Times New Roman" w:hAnsi="Times New Roman" w:cs="Times New Roman"/>
          <w:color w:val="000000"/>
          <w:sz w:val="24"/>
          <w:szCs w:val="24"/>
          <w:lang w:eastAsia="tr-TR"/>
        </w:rPr>
        <w:t>z</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uçucu yağı (960 mg zencefil kökü tozuna emdirilmiş, </w:t>
      </w:r>
      <w:proofErr w:type="spellStart"/>
      <w:r w:rsidRPr="00F77E79">
        <w:rPr>
          <w:rFonts w:ascii="Times New Roman" w:eastAsia="Times New Roman" w:hAnsi="Times New Roman" w:cs="Times New Roman"/>
          <w:color w:val="000000"/>
          <w:sz w:val="24"/>
          <w:szCs w:val="24"/>
          <w:lang w:eastAsia="tr-TR"/>
        </w:rPr>
        <w:t>Eurekol</w:t>
      </w:r>
      <w:proofErr w:type="spellEnd"/>
      <w:r w:rsidRPr="00F77E79">
        <w:rPr>
          <w:rFonts w:ascii="Times New Roman" w:eastAsia="Times New Roman" w:hAnsi="Times New Roman" w:cs="Times New Roman"/>
          <w:color w:val="000000"/>
          <w:sz w:val="24"/>
          <w:szCs w:val="24"/>
          <w:lang w:eastAsia="tr-TR"/>
        </w:rPr>
        <w:t xml:space="preserve">™: 600 mg of </w:t>
      </w:r>
      <w:proofErr w:type="spellStart"/>
      <w:r w:rsidRPr="00F77E79">
        <w:rPr>
          <w:rFonts w:ascii="Times New Roman" w:eastAsia="Times New Roman" w:hAnsi="Times New Roman" w:cs="Times New Roman"/>
          <w:color w:val="000000"/>
          <w:sz w:val="24"/>
          <w:szCs w:val="24"/>
          <w:lang w:eastAsia="tr-TR"/>
        </w:rPr>
        <w:t>BIOintestil</w:t>
      </w:r>
      <w:r w:rsidRPr="00F77E79">
        <w:rPr>
          <w:rFonts w:ascii="Times New Roman" w:eastAsia="Times New Roman" w:hAnsi="Times New Roman" w:cs="Times New Roman"/>
          <w:color w:val="000000"/>
          <w:sz w:val="14"/>
          <w:szCs w:val="14"/>
          <w:vertAlign w:val="superscript"/>
          <w:lang w:eastAsia="tr-TR"/>
        </w:rPr>
        <w:t>TM</w:t>
      </w:r>
      <w:proofErr w:type="spellEnd"/>
      <w:r w:rsidRPr="00F77E79">
        <w:rPr>
          <w:rFonts w:ascii="Times New Roman" w:eastAsia="Times New Roman" w:hAnsi="Times New Roman" w:cs="Times New Roman"/>
          <w:color w:val="000000"/>
          <w:sz w:val="24"/>
          <w:szCs w:val="24"/>
          <w:lang w:eastAsia="tr-TR"/>
        </w:rPr>
        <w:t xml:space="preserve">) verilmiştir. Hastaların IBS-SSS (IBS-Şiddet puanlama sistemi) skorlarında (-%67,9) ve tüm birincil IBS semptomlarında anlamlı düşüşler gözlenmiştir. Bunlar; karın şişkinliği (-%82,3), bağırsak alışkanlıklarından memnuniyetsizlik (-%46,2) ve yaşam kalitesine müdahale (-%64,9) (tümü anlamlı, </w:t>
      </w:r>
      <w:proofErr w:type="gramStart"/>
      <w:r w:rsidRPr="00F77E79">
        <w:rPr>
          <w:rFonts w:ascii="Times New Roman" w:eastAsia="Times New Roman" w:hAnsi="Times New Roman" w:cs="Times New Roman"/>
          <w:color w:val="000000"/>
          <w:sz w:val="24"/>
          <w:szCs w:val="24"/>
          <w:lang w:eastAsia="tr-TR"/>
        </w:rPr>
        <w:t>p&lt; 0</w:t>
      </w:r>
      <w:proofErr w:type="gramEnd"/>
      <w:r w:rsidRPr="00F77E79">
        <w:rPr>
          <w:rFonts w:ascii="Times New Roman" w:eastAsia="Times New Roman" w:hAnsi="Times New Roman" w:cs="Times New Roman"/>
          <w:color w:val="000000"/>
          <w:sz w:val="24"/>
          <w:szCs w:val="24"/>
          <w:lang w:eastAsia="tr-TR"/>
        </w:rPr>
        <w:t>,01)</w:t>
      </w:r>
      <w:r w:rsidR="00C4004B">
        <w:rPr>
          <w:rFonts w:ascii="Times New Roman" w:eastAsia="Times New Roman" w:hAnsi="Times New Roman" w:cs="Times New Roman"/>
          <w:color w:val="000000"/>
          <w:sz w:val="24"/>
          <w:szCs w:val="24"/>
          <w:lang w:eastAsia="tr-TR"/>
        </w:rPr>
        <w:t xml:space="preserve"> gibi parametrelerdir</w:t>
      </w:r>
      <w:r w:rsidRPr="00F77E79">
        <w:rPr>
          <w:rFonts w:ascii="Times New Roman" w:eastAsia="Times New Roman" w:hAnsi="Times New Roman" w:cs="Times New Roman"/>
          <w:color w:val="000000"/>
          <w:sz w:val="24"/>
          <w:szCs w:val="24"/>
          <w:lang w:eastAsia="tr-TR"/>
        </w:rPr>
        <w:t>. Hastaların dışkı tipi anlamlı ölçüde iyileşmiştir. Tedavinin tüm IBS alt tiplerinde etkili olduğu belirtilmiştir (</w:t>
      </w:r>
      <w:proofErr w:type="spellStart"/>
      <w:r w:rsidRPr="00F77E79">
        <w:rPr>
          <w:rFonts w:ascii="Times New Roman" w:eastAsia="Times New Roman" w:hAnsi="Times New Roman" w:cs="Times New Roman"/>
          <w:color w:val="000000"/>
          <w:sz w:val="24"/>
          <w:szCs w:val="24"/>
          <w:lang w:eastAsia="tr-TR"/>
        </w:rPr>
        <w:t>Ricci</w:t>
      </w:r>
      <w:proofErr w:type="spellEnd"/>
      <w:r w:rsidRPr="00F77E79">
        <w:rPr>
          <w:rFonts w:ascii="Times New Roman" w:eastAsia="Times New Roman" w:hAnsi="Times New Roman" w:cs="Times New Roman"/>
          <w:color w:val="000000"/>
          <w:sz w:val="24"/>
          <w:szCs w:val="24"/>
          <w:lang w:eastAsia="tr-TR"/>
        </w:rPr>
        <w:t>, 2025).</w:t>
      </w:r>
    </w:p>
    <w:p w14:paraId="53125A3A" w14:textId="77777777" w:rsidR="00F77E79" w:rsidRPr="00F77E79" w:rsidRDefault="00F77E79" w:rsidP="00FC6DFA">
      <w:pPr>
        <w:spacing w:before="480" w:after="120" w:line="276" w:lineRule="auto"/>
        <w:ind w:left="714" w:hanging="357"/>
        <w:jc w:val="both"/>
        <w:rPr>
          <w:rFonts w:ascii="Times New Roman" w:eastAsia="Times New Roman" w:hAnsi="Times New Roman" w:cs="Times New Roman"/>
          <w:sz w:val="24"/>
          <w:szCs w:val="24"/>
          <w:lang w:eastAsia="tr-TR"/>
        </w:rPr>
      </w:pPr>
      <w:r w:rsidRPr="00F77E79">
        <w:rPr>
          <w:rFonts w:ascii="Times New Roman" w:eastAsia="Times New Roman" w:hAnsi="Times New Roman" w:cs="Times New Roman"/>
          <w:b/>
          <w:bCs/>
          <w:color w:val="000000"/>
          <w:sz w:val="24"/>
          <w:szCs w:val="24"/>
          <w:lang w:eastAsia="tr-TR"/>
        </w:rPr>
        <w:t>7.</w:t>
      </w:r>
      <w:r w:rsidRPr="00F77E79">
        <w:rPr>
          <w:rFonts w:ascii="Times New Roman" w:eastAsia="Times New Roman" w:hAnsi="Times New Roman" w:cs="Times New Roman"/>
          <w:color w:val="000000"/>
          <w:sz w:val="24"/>
          <w:szCs w:val="24"/>
          <w:lang w:eastAsia="tr-TR"/>
        </w:rPr>
        <w:t xml:space="preserve">      </w:t>
      </w:r>
      <w:r w:rsidRPr="00F77E79">
        <w:rPr>
          <w:rFonts w:ascii="Times New Roman" w:eastAsia="Times New Roman" w:hAnsi="Times New Roman" w:cs="Times New Roman"/>
          <w:b/>
          <w:bCs/>
          <w:color w:val="000000"/>
          <w:sz w:val="24"/>
          <w:szCs w:val="24"/>
          <w:lang w:eastAsia="tr-TR"/>
        </w:rPr>
        <w:t>Bitkinin Uçucu Yağının Yan Etkileri ile İlgili Bilgiler</w:t>
      </w:r>
    </w:p>
    <w:p w14:paraId="21AC0EC9" w14:textId="77777777" w:rsidR="00FC6DFA" w:rsidRDefault="00F77E79" w:rsidP="00FC6DFA">
      <w:pPr>
        <w:spacing w:before="120" w:after="120" w:line="276" w:lineRule="auto"/>
        <w:ind w:firstLine="720"/>
        <w:jc w:val="both"/>
        <w:rPr>
          <w:rFonts w:ascii="Times New Roman" w:eastAsia="Times New Roman" w:hAnsi="Times New Roman" w:cs="Times New Roman"/>
          <w:sz w:val="24"/>
          <w:szCs w:val="24"/>
          <w:lang w:eastAsia="tr-TR"/>
        </w:rPr>
      </w:pPr>
      <w:proofErr w:type="spellStart"/>
      <w:r w:rsidRPr="00F77E79">
        <w:rPr>
          <w:rFonts w:ascii="Times New Roman" w:eastAsia="Times New Roman" w:hAnsi="Times New Roman" w:cs="Times New Roman"/>
          <w:color w:val="000000"/>
          <w:sz w:val="24"/>
          <w:szCs w:val="24"/>
          <w:lang w:eastAsia="tr-TR"/>
        </w:rPr>
        <w:t>Palmaro</w:t>
      </w:r>
      <w:r w:rsidR="00462FE4">
        <w:rPr>
          <w:rFonts w:ascii="Times New Roman" w:eastAsia="Times New Roman" w:hAnsi="Times New Roman" w:cs="Times New Roman"/>
          <w:color w:val="000000"/>
          <w:sz w:val="24"/>
          <w:szCs w:val="24"/>
          <w:lang w:eastAsia="tr-TR"/>
        </w:rPr>
        <w:t>z</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uçucu yağı, tüm uçucu yağlarda olduğu gibi cilt ve göz tahrişine sebep olur, potansiyel alerjen olarak kabul edilir, cilde doğrudan uygulanmaz ve yutulmaz. Bir aroma bileşeni olarak </w:t>
      </w:r>
      <w:proofErr w:type="spellStart"/>
      <w:r w:rsidRPr="00F77E79">
        <w:rPr>
          <w:rFonts w:ascii="Times New Roman" w:eastAsia="Times New Roman" w:hAnsi="Times New Roman" w:cs="Times New Roman"/>
          <w:color w:val="000000"/>
          <w:sz w:val="24"/>
          <w:szCs w:val="24"/>
          <w:lang w:eastAsia="tr-TR"/>
        </w:rPr>
        <w:t>Palmaro</w:t>
      </w:r>
      <w:r w:rsidR="00462FE4">
        <w:rPr>
          <w:rFonts w:ascii="Times New Roman" w:eastAsia="Times New Roman" w:hAnsi="Times New Roman" w:cs="Times New Roman"/>
          <w:color w:val="000000"/>
          <w:sz w:val="24"/>
          <w:szCs w:val="24"/>
          <w:lang w:eastAsia="tr-TR"/>
        </w:rPr>
        <w:t>z</w:t>
      </w:r>
      <w:r w:rsidRPr="00F77E79">
        <w:rPr>
          <w:rFonts w:ascii="Times New Roman" w:eastAsia="Times New Roman" w:hAnsi="Times New Roman" w:cs="Times New Roman"/>
          <w:color w:val="000000"/>
          <w:sz w:val="24"/>
          <w:szCs w:val="24"/>
          <w:lang w:eastAsia="tr-TR"/>
        </w:rPr>
        <w:t>a</w:t>
      </w:r>
      <w:proofErr w:type="spellEnd"/>
      <w:r w:rsidRPr="00F77E79">
        <w:rPr>
          <w:rFonts w:ascii="Times New Roman" w:eastAsia="Times New Roman" w:hAnsi="Times New Roman" w:cs="Times New Roman"/>
          <w:color w:val="000000"/>
          <w:sz w:val="24"/>
          <w:szCs w:val="24"/>
          <w:lang w:eastAsia="tr-TR"/>
        </w:rPr>
        <w:t xml:space="preserve"> uçucu yağı FEMA (2831) ve FDA tarafından, “genellikle güvenli kabul edilen” (GRAS) statüsüne alınmıştır.</w:t>
      </w:r>
    </w:p>
    <w:p w14:paraId="77C1B923" w14:textId="4F9A9AAD" w:rsidR="009F7F21" w:rsidRPr="00FC6DFA" w:rsidRDefault="00FC6DFA" w:rsidP="00FC6DFA">
      <w:pPr>
        <w:spacing w:before="480" w:after="120" w:line="276" w:lineRule="auto"/>
        <w:ind w:left="35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8. </w:t>
      </w:r>
      <w:r w:rsidR="009F7F21" w:rsidRPr="009F7F21">
        <w:rPr>
          <w:rFonts w:ascii="Times New Roman" w:eastAsia="Times New Roman" w:hAnsi="Times New Roman" w:cs="Times New Roman"/>
          <w:b/>
          <w:bCs/>
          <w:sz w:val="24"/>
          <w:szCs w:val="24"/>
          <w:lang w:eastAsia="tr-TR"/>
        </w:rPr>
        <w:t xml:space="preserve">Bitkinin Uçucu Yağ Kısmı ile İlgili </w:t>
      </w:r>
      <w:proofErr w:type="spellStart"/>
      <w:r w:rsidR="009F7F21" w:rsidRPr="009F7F21">
        <w:rPr>
          <w:rFonts w:ascii="Times New Roman" w:eastAsia="Times New Roman" w:hAnsi="Times New Roman" w:cs="Times New Roman"/>
          <w:b/>
          <w:bCs/>
          <w:sz w:val="24"/>
          <w:szCs w:val="24"/>
          <w:lang w:eastAsia="tr-TR"/>
        </w:rPr>
        <w:t>Toksikolojik</w:t>
      </w:r>
      <w:proofErr w:type="spellEnd"/>
      <w:r w:rsidR="009F7F21" w:rsidRPr="009F7F21">
        <w:rPr>
          <w:rFonts w:ascii="Times New Roman" w:eastAsia="Times New Roman" w:hAnsi="Times New Roman" w:cs="Times New Roman"/>
          <w:b/>
          <w:bCs/>
          <w:sz w:val="24"/>
          <w:szCs w:val="24"/>
          <w:lang w:eastAsia="tr-TR"/>
        </w:rPr>
        <w:t xml:space="preserve"> Bilgiler</w:t>
      </w:r>
    </w:p>
    <w:p w14:paraId="5DE87BDC" w14:textId="77777777" w:rsidR="009F7F21" w:rsidRPr="00FC6DFA" w:rsidRDefault="009F7F21" w:rsidP="00FC6DFA">
      <w:pPr>
        <w:spacing w:before="120" w:after="120" w:line="276" w:lineRule="auto"/>
        <w:ind w:left="1241" w:hanging="442"/>
        <w:jc w:val="both"/>
        <w:rPr>
          <w:rFonts w:ascii="Times New Roman" w:eastAsia="Times New Roman" w:hAnsi="Times New Roman" w:cs="Times New Roman"/>
          <w:b/>
          <w:bCs/>
          <w:i/>
          <w:sz w:val="24"/>
          <w:szCs w:val="24"/>
          <w:lang w:eastAsia="tr-TR"/>
        </w:rPr>
      </w:pPr>
      <w:r w:rsidRPr="00FC6DFA">
        <w:rPr>
          <w:rFonts w:ascii="Times New Roman" w:eastAsia="Times New Roman" w:hAnsi="Times New Roman" w:cs="Times New Roman"/>
          <w:b/>
          <w:bCs/>
          <w:i/>
          <w:sz w:val="24"/>
          <w:szCs w:val="24"/>
          <w:lang w:eastAsia="tr-TR"/>
        </w:rPr>
        <w:t xml:space="preserve">8.1. Akut </w:t>
      </w:r>
      <w:proofErr w:type="spellStart"/>
      <w:r w:rsidRPr="00FC6DFA">
        <w:rPr>
          <w:rFonts w:ascii="Times New Roman" w:eastAsia="Times New Roman" w:hAnsi="Times New Roman" w:cs="Times New Roman"/>
          <w:b/>
          <w:bCs/>
          <w:i/>
          <w:sz w:val="24"/>
          <w:szCs w:val="24"/>
          <w:lang w:eastAsia="tr-TR"/>
        </w:rPr>
        <w:t>Toksisite</w:t>
      </w:r>
      <w:proofErr w:type="spellEnd"/>
    </w:p>
    <w:p w14:paraId="3AE48269" w14:textId="69DB96A9" w:rsidR="009F7F21" w:rsidRPr="009F7F21" w:rsidRDefault="009F7F21" w:rsidP="009C516A">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proofErr w:type="spellStart"/>
      <w:r w:rsidRPr="009F7F21">
        <w:rPr>
          <w:rFonts w:ascii="Times New Roman" w:eastAsia="Times New Roman" w:hAnsi="Times New Roman" w:cs="Times New Roman"/>
          <w:i/>
          <w:iCs/>
          <w:sz w:val="24"/>
          <w:szCs w:val="24"/>
          <w:lang w:eastAsia="tr-TR"/>
        </w:rPr>
        <w:t>Cymbopogon</w:t>
      </w:r>
      <w:proofErr w:type="spellEnd"/>
      <w:r w:rsidRPr="009F7F21">
        <w:rPr>
          <w:rFonts w:ascii="Times New Roman" w:eastAsia="Times New Roman" w:hAnsi="Times New Roman" w:cs="Times New Roman"/>
          <w:i/>
          <w:iCs/>
          <w:sz w:val="24"/>
          <w:szCs w:val="24"/>
          <w:lang w:eastAsia="tr-TR"/>
        </w:rPr>
        <w:t xml:space="preserve"> martini</w:t>
      </w:r>
      <w:r w:rsidRPr="009F7F21">
        <w:rPr>
          <w:rFonts w:ascii="Times New Roman" w:eastAsia="Times New Roman" w:hAnsi="Times New Roman" w:cs="Times New Roman"/>
          <w:sz w:val="24"/>
          <w:szCs w:val="24"/>
          <w:lang w:eastAsia="tr-TR"/>
        </w:rPr>
        <w:t xml:space="preserve"> uçucu yağı ile yapılan </w:t>
      </w:r>
      <w:r w:rsidRPr="009B18FC">
        <w:rPr>
          <w:rFonts w:ascii="Times New Roman" w:eastAsia="Times New Roman" w:hAnsi="Times New Roman" w:cs="Times New Roman"/>
          <w:i/>
          <w:iCs/>
          <w:sz w:val="24"/>
          <w:szCs w:val="24"/>
          <w:lang w:eastAsia="tr-TR"/>
        </w:rPr>
        <w:t xml:space="preserve">in </w:t>
      </w:r>
      <w:proofErr w:type="spellStart"/>
      <w:r w:rsidRPr="009B18FC">
        <w:rPr>
          <w:rFonts w:ascii="Times New Roman" w:eastAsia="Times New Roman" w:hAnsi="Times New Roman" w:cs="Times New Roman"/>
          <w:i/>
          <w:iCs/>
          <w:sz w:val="24"/>
          <w:szCs w:val="24"/>
          <w:lang w:eastAsia="tr-TR"/>
        </w:rPr>
        <w:t>vivo</w:t>
      </w:r>
      <w:proofErr w:type="spellEnd"/>
      <w:r w:rsidRPr="009F7F21">
        <w:rPr>
          <w:rFonts w:ascii="Times New Roman" w:eastAsia="Times New Roman" w:hAnsi="Times New Roman" w:cs="Times New Roman"/>
          <w:sz w:val="24"/>
          <w:szCs w:val="24"/>
          <w:lang w:eastAsia="tr-TR"/>
        </w:rPr>
        <w:t xml:space="preserve"> çalışmada, farelerde oral uygulama sonrasında LD</w:t>
      </w:r>
      <w:r w:rsidR="00DE355C" w:rsidRPr="00DE355C">
        <w:rPr>
          <w:rFonts w:ascii="Times New Roman" w:eastAsia="Times New Roman" w:hAnsi="Times New Roman" w:cs="Times New Roman"/>
          <w:sz w:val="24"/>
          <w:szCs w:val="24"/>
          <w:lang w:eastAsia="tr-TR"/>
        </w:rPr>
        <w:t xml:space="preserve">₅₀ &gt;5000 </w:t>
      </w:r>
      <w:r w:rsidRPr="009F7F21">
        <w:rPr>
          <w:rFonts w:ascii="Times New Roman" w:eastAsia="Times New Roman" w:hAnsi="Times New Roman" w:cs="Times New Roman"/>
          <w:sz w:val="24"/>
          <w:szCs w:val="24"/>
          <w:lang w:eastAsia="tr-TR"/>
        </w:rPr>
        <w:t>mg/kg olarak belirlenmiştir (</w:t>
      </w:r>
      <w:proofErr w:type="spellStart"/>
      <w:r w:rsidRPr="009F7F21">
        <w:rPr>
          <w:rFonts w:ascii="Times New Roman" w:eastAsia="Times New Roman" w:hAnsi="Times New Roman" w:cs="Times New Roman"/>
          <w:sz w:val="24"/>
          <w:szCs w:val="24"/>
          <w:lang w:eastAsia="tr-TR"/>
        </w:rPr>
        <w:t>Ayenew</w:t>
      </w:r>
      <w:proofErr w:type="spellEnd"/>
      <w:r w:rsidRPr="009F7F21">
        <w:rPr>
          <w:rFonts w:ascii="Times New Roman" w:eastAsia="Times New Roman" w:hAnsi="Times New Roman" w:cs="Times New Roman"/>
          <w:sz w:val="24"/>
          <w:szCs w:val="24"/>
          <w:lang w:eastAsia="tr-TR"/>
        </w:rPr>
        <w:t xml:space="preserve"> ve ark., 2022). Test edilen dozlarda </w:t>
      </w:r>
      <w:proofErr w:type="spellStart"/>
      <w:r w:rsidRPr="009F7F21">
        <w:rPr>
          <w:rFonts w:ascii="Times New Roman" w:eastAsia="Times New Roman" w:hAnsi="Times New Roman" w:cs="Times New Roman"/>
          <w:sz w:val="24"/>
          <w:szCs w:val="24"/>
          <w:lang w:eastAsia="tr-TR"/>
        </w:rPr>
        <w:t>mortalite</w:t>
      </w:r>
      <w:proofErr w:type="spellEnd"/>
      <w:r w:rsidRPr="009F7F21">
        <w:rPr>
          <w:rFonts w:ascii="Times New Roman" w:eastAsia="Times New Roman" w:hAnsi="Times New Roman" w:cs="Times New Roman"/>
          <w:sz w:val="24"/>
          <w:szCs w:val="24"/>
          <w:lang w:eastAsia="tr-TR"/>
        </w:rPr>
        <w:t xml:space="preserve">, belirgin klinik bulgu veya davranışsal değişiklik gözlenmemiştir. Bu bulgular, OECD sınıflandırmasına göre “pratik olarak </w:t>
      </w:r>
      <w:proofErr w:type="spellStart"/>
      <w:r w:rsidRPr="009F7F21">
        <w:rPr>
          <w:rFonts w:ascii="Times New Roman" w:eastAsia="Times New Roman" w:hAnsi="Times New Roman" w:cs="Times New Roman"/>
          <w:sz w:val="24"/>
          <w:szCs w:val="24"/>
          <w:lang w:eastAsia="tr-TR"/>
        </w:rPr>
        <w:t>toksik</w:t>
      </w:r>
      <w:proofErr w:type="spellEnd"/>
      <w:r w:rsidRPr="009F7F21">
        <w:rPr>
          <w:rFonts w:ascii="Times New Roman" w:eastAsia="Times New Roman" w:hAnsi="Times New Roman" w:cs="Times New Roman"/>
          <w:sz w:val="24"/>
          <w:szCs w:val="24"/>
          <w:lang w:eastAsia="tr-TR"/>
        </w:rPr>
        <w:t xml:space="preserve"> olmayan” Kategori 5 ile uyumludur (US</w:t>
      </w:r>
      <w:r w:rsidR="000F3446">
        <w:rPr>
          <w:rFonts w:ascii="Times New Roman" w:eastAsia="Times New Roman" w:hAnsi="Times New Roman" w:cs="Times New Roman"/>
          <w:sz w:val="24"/>
          <w:szCs w:val="24"/>
          <w:lang w:eastAsia="tr-TR"/>
        </w:rPr>
        <w:t>-</w:t>
      </w:r>
      <w:r w:rsidRPr="009F7F21">
        <w:rPr>
          <w:rFonts w:ascii="Times New Roman" w:eastAsia="Times New Roman" w:hAnsi="Times New Roman" w:cs="Times New Roman"/>
          <w:sz w:val="24"/>
          <w:szCs w:val="24"/>
          <w:lang w:eastAsia="tr-TR"/>
        </w:rPr>
        <w:t xml:space="preserve"> EPA</w:t>
      </w:r>
      <w:r w:rsidR="000F3446">
        <w:rPr>
          <w:rFonts w:ascii="Times New Roman" w:eastAsia="Times New Roman" w:hAnsi="Times New Roman" w:cs="Times New Roman"/>
          <w:sz w:val="24"/>
          <w:szCs w:val="24"/>
          <w:lang w:eastAsia="tr-TR"/>
        </w:rPr>
        <w:t>, 2026</w:t>
      </w:r>
      <w:r w:rsidRPr="009F7F21">
        <w:rPr>
          <w:rFonts w:ascii="Times New Roman" w:eastAsia="Times New Roman" w:hAnsi="Times New Roman" w:cs="Times New Roman"/>
          <w:sz w:val="24"/>
          <w:szCs w:val="24"/>
          <w:lang w:eastAsia="tr-TR"/>
        </w:rPr>
        <w:t>).</w:t>
      </w:r>
    </w:p>
    <w:p w14:paraId="20D7B693" w14:textId="77777777" w:rsidR="009F7F21" w:rsidRPr="00FC6DFA" w:rsidRDefault="009F7F21" w:rsidP="00FC6DFA">
      <w:pPr>
        <w:spacing w:before="120" w:after="120" w:line="276" w:lineRule="auto"/>
        <w:ind w:left="1241" w:hanging="442"/>
        <w:jc w:val="both"/>
        <w:rPr>
          <w:rFonts w:ascii="Times New Roman" w:eastAsia="Times New Roman" w:hAnsi="Times New Roman" w:cs="Times New Roman"/>
          <w:b/>
          <w:bCs/>
          <w:i/>
          <w:sz w:val="24"/>
          <w:szCs w:val="24"/>
          <w:lang w:eastAsia="tr-TR"/>
        </w:rPr>
      </w:pPr>
      <w:r w:rsidRPr="00FC6DFA">
        <w:rPr>
          <w:rFonts w:ascii="Times New Roman" w:eastAsia="Times New Roman" w:hAnsi="Times New Roman" w:cs="Times New Roman"/>
          <w:b/>
          <w:bCs/>
          <w:i/>
          <w:sz w:val="24"/>
          <w:szCs w:val="24"/>
          <w:lang w:eastAsia="tr-TR"/>
        </w:rPr>
        <w:t xml:space="preserve">8.2. Tekrarlayan Doz </w:t>
      </w:r>
      <w:proofErr w:type="spellStart"/>
      <w:r w:rsidRPr="00FC6DFA">
        <w:rPr>
          <w:rFonts w:ascii="Times New Roman" w:eastAsia="Times New Roman" w:hAnsi="Times New Roman" w:cs="Times New Roman"/>
          <w:b/>
          <w:bCs/>
          <w:i/>
          <w:sz w:val="24"/>
          <w:szCs w:val="24"/>
          <w:lang w:eastAsia="tr-TR"/>
        </w:rPr>
        <w:t>Toksisite</w:t>
      </w:r>
      <w:proofErr w:type="spellEnd"/>
    </w:p>
    <w:p w14:paraId="786544E2" w14:textId="4DE4A81D" w:rsidR="009F7F21" w:rsidRPr="009F7F21" w:rsidRDefault="009F7F21" w:rsidP="00C94279">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proofErr w:type="spellStart"/>
      <w:r w:rsidRPr="009F7F21">
        <w:rPr>
          <w:rFonts w:ascii="Times New Roman" w:eastAsia="Times New Roman" w:hAnsi="Times New Roman" w:cs="Times New Roman"/>
          <w:sz w:val="24"/>
          <w:szCs w:val="24"/>
          <w:lang w:eastAsia="tr-TR"/>
        </w:rPr>
        <w:t>Geraniol</w:t>
      </w:r>
      <w:proofErr w:type="spellEnd"/>
      <w:r w:rsidRPr="009F7F21">
        <w:rPr>
          <w:rFonts w:ascii="Times New Roman" w:eastAsia="Times New Roman" w:hAnsi="Times New Roman" w:cs="Times New Roman"/>
          <w:sz w:val="24"/>
          <w:szCs w:val="24"/>
          <w:lang w:eastAsia="tr-TR"/>
        </w:rPr>
        <w:t xml:space="preserve"> için tekrarlayan doz </w:t>
      </w:r>
      <w:proofErr w:type="spellStart"/>
      <w:r w:rsidRPr="009F7F21">
        <w:rPr>
          <w:rFonts w:ascii="Times New Roman" w:eastAsia="Times New Roman" w:hAnsi="Times New Roman" w:cs="Times New Roman"/>
          <w:sz w:val="24"/>
          <w:szCs w:val="24"/>
          <w:lang w:eastAsia="tr-TR"/>
        </w:rPr>
        <w:t>toksisitesine</w:t>
      </w:r>
      <w:proofErr w:type="spellEnd"/>
      <w:r w:rsidRPr="009F7F21">
        <w:rPr>
          <w:rFonts w:ascii="Times New Roman" w:eastAsia="Times New Roman" w:hAnsi="Times New Roman" w:cs="Times New Roman"/>
          <w:sz w:val="24"/>
          <w:szCs w:val="24"/>
          <w:lang w:eastAsia="tr-TR"/>
        </w:rPr>
        <w:t xml:space="preserve"> ilişkin yeterli veri bulunmaktadır. OECD 421/GLP uyumlu bir çalışmada, her doz grubunda 10 </w:t>
      </w:r>
      <w:proofErr w:type="spellStart"/>
      <w:r w:rsidRPr="009F7F21">
        <w:rPr>
          <w:rFonts w:ascii="Times New Roman" w:eastAsia="Times New Roman" w:hAnsi="Times New Roman" w:cs="Times New Roman"/>
          <w:sz w:val="24"/>
          <w:szCs w:val="24"/>
          <w:lang w:eastAsia="tr-TR"/>
        </w:rPr>
        <w:t>Wistar</w:t>
      </w:r>
      <w:proofErr w:type="spellEnd"/>
      <w:r w:rsidRPr="009F7F21">
        <w:rPr>
          <w:rFonts w:ascii="Times New Roman" w:eastAsia="Times New Roman" w:hAnsi="Times New Roman" w:cs="Times New Roman"/>
          <w:sz w:val="24"/>
          <w:szCs w:val="24"/>
          <w:lang w:eastAsia="tr-TR"/>
        </w:rPr>
        <w:t xml:space="preserve"> sıçan/cinsiyet olacak şekilde hayvanlara </w:t>
      </w:r>
      <w:proofErr w:type="spellStart"/>
      <w:r w:rsidRPr="009F7F21">
        <w:rPr>
          <w:rFonts w:ascii="Times New Roman" w:eastAsia="Times New Roman" w:hAnsi="Times New Roman" w:cs="Times New Roman"/>
          <w:sz w:val="24"/>
          <w:szCs w:val="24"/>
          <w:lang w:eastAsia="tr-TR"/>
        </w:rPr>
        <w:t>geraniol</w:t>
      </w:r>
      <w:proofErr w:type="spellEnd"/>
      <w:r w:rsidRPr="009F7F21">
        <w:rPr>
          <w:rFonts w:ascii="Times New Roman" w:eastAsia="Times New Roman" w:hAnsi="Times New Roman" w:cs="Times New Roman"/>
          <w:sz w:val="24"/>
          <w:szCs w:val="24"/>
          <w:lang w:eastAsia="tr-TR"/>
        </w:rPr>
        <w:t xml:space="preserve"> </w:t>
      </w:r>
      <w:proofErr w:type="spellStart"/>
      <w:r w:rsidRPr="009F7F21">
        <w:rPr>
          <w:rFonts w:ascii="Times New Roman" w:eastAsia="Times New Roman" w:hAnsi="Times New Roman" w:cs="Times New Roman"/>
          <w:sz w:val="24"/>
          <w:szCs w:val="24"/>
          <w:lang w:eastAsia="tr-TR"/>
        </w:rPr>
        <w:t>dermal</w:t>
      </w:r>
      <w:proofErr w:type="spellEnd"/>
      <w:r w:rsidRPr="009F7F21">
        <w:rPr>
          <w:rFonts w:ascii="Times New Roman" w:eastAsia="Times New Roman" w:hAnsi="Times New Roman" w:cs="Times New Roman"/>
          <w:sz w:val="24"/>
          <w:szCs w:val="24"/>
          <w:lang w:eastAsia="tr-TR"/>
        </w:rPr>
        <w:t xml:space="preserve"> olarak, yarı </w:t>
      </w:r>
      <w:proofErr w:type="spellStart"/>
      <w:r w:rsidRPr="009F7F21">
        <w:rPr>
          <w:rFonts w:ascii="Times New Roman" w:eastAsia="Times New Roman" w:hAnsi="Times New Roman" w:cs="Times New Roman"/>
          <w:sz w:val="24"/>
          <w:szCs w:val="24"/>
          <w:lang w:eastAsia="tr-TR"/>
        </w:rPr>
        <w:t>oklüzif</w:t>
      </w:r>
      <w:proofErr w:type="spellEnd"/>
      <w:r w:rsidRPr="009F7F21">
        <w:rPr>
          <w:rFonts w:ascii="Times New Roman" w:eastAsia="Times New Roman" w:hAnsi="Times New Roman" w:cs="Times New Roman"/>
          <w:sz w:val="24"/>
          <w:szCs w:val="24"/>
          <w:lang w:eastAsia="tr-TR"/>
        </w:rPr>
        <w:t xml:space="preserve"> koşullarda, günde 6 saat süreyle 0 (mısır yağı kontrol), 50, 150 ve 450 mg/kg/gün dozlarında 16 hafta boyunca uygulanmıştır. Gözlenen lokal etkiler nedeniyle en yüksek doz 10. günde 300 mg/kg’a düşürülmüş ve çalışma sonuna kadar bu dozda devam edilmiştir. Erkekler genellikle 32. günde, dişiler ise 49. günde </w:t>
      </w:r>
      <w:proofErr w:type="spellStart"/>
      <w:r w:rsidRPr="009F7F21">
        <w:rPr>
          <w:rFonts w:ascii="Times New Roman" w:eastAsia="Times New Roman" w:hAnsi="Times New Roman" w:cs="Times New Roman"/>
          <w:sz w:val="24"/>
          <w:szCs w:val="24"/>
          <w:lang w:eastAsia="tr-TR"/>
        </w:rPr>
        <w:t>sakrifiye</w:t>
      </w:r>
      <w:proofErr w:type="spellEnd"/>
      <w:r w:rsidRPr="009F7F21">
        <w:rPr>
          <w:rFonts w:ascii="Times New Roman" w:eastAsia="Times New Roman" w:hAnsi="Times New Roman" w:cs="Times New Roman"/>
          <w:sz w:val="24"/>
          <w:szCs w:val="24"/>
          <w:lang w:eastAsia="tr-TR"/>
        </w:rPr>
        <w:t xml:space="preserve"> </w:t>
      </w:r>
      <w:r w:rsidRPr="009F7F21">
        <w:rPr>
          <w:rFonts w:ascii="Times New Roman" w:eastAsia="Times New Roman" w:hAnsi="Times New Roman" w:cs="Times New Roman"/>
          <w:sz w:val="24"/>
          <w:szCs w:val="24"/>
          <w:lang w:eastAsia="tr-TR"/>
        </w:rPr>
        <w:lastRenderedPageBreak/>
        <w:t>edilmiştir.</w:t>
      </w:r>
      <w:r w:rsidR="00DE355C">
        <w:rPr>
          <w:rFonts w:ascii="Times New Roman" w:eastAsia="Times New Roman" w:hAnsi="Times New Roman" w:cs="Times New Roman"/>
          <w:sz w:val="24"/>
          <w:szCs w:val="24"/>
          <w:lang w:eastAsia="tr-TR"/>
        </w:rPr>
        <w:t xml:space="preserve"> </w:t>
      </w:r>
      <w:r w:rsidRPr="009F7F21">
        <w:rPr>
          <w:rFonts w:ascii="Times New Roman" w:eastAsia="Times New Roman" w:hAnsi="Times New Roman" w:cs="Times New Roman"/>
          <w:sz w:val="24"/>
          <w:szCs w:val="24"/>
          <w:lang w:eastAsia="tr-TR"/>
        </w:rPr>
        <w:t xml:space="preserve">Tüm doz seviyelerinde </w:t>
      </w:r>
      <w:proofErr w:type="spellStart"/>
      <w:r w:rsidRPr="009F7F21">
        <w:rPr>
          <w:rFonts w:ascii="Times New Roman" w:eastAsia="Times New Roman" w:hAnsi="Times New Roman" w:cs="Times New Roman"/>
          <w:sz w:val="24"/>
          <w:szCs w:val="24"/>
          <w:lang w:eastAsia="tr-TR"/>
        </w:rPr>
        <w:t>geraniolün</w:t>
      </w:r>
      <w:proofErr w:type="spellEnd"/>
      <w:r w:rsidRPr="009F7F21">
        <w:rPr>
          <w:rFonts w:ascii="Times New Roman" w:eastAsia="Times New Roman" w:hAnsi="Times New Roman" w:cs="Times New Roman"/>
          <w:sz w:val="24"/>
          <w:szCs w:val="24"/>
          <w:lang w:eastAsia="tr-TR"/>
        </w:rPr>
        <w:t xml:space="preserve"> </w:t>
      </w:r>
      <w:proofErr w:type="spellStart"/>
      <w:r w:rsidRPr="009F7F21">
        <w:rPr>
          <w:rFonts w:ascii="Times New Roman" w:eastAsia="Times New Roman" w:hAnsi="Times New Roman" w:cs="Times New Roman"/>
          <w:sz w:val="24"/>
          <w:szCs w:val="24"/>
          <w:lang w:eastAsia="tr-TR"/>
        </w:rPr>
        <w:t>iritan</w:t>
      </w:r>
      <w:proofErr w:type="spellEnd"/>
      <w:r w:rsidRPr="009F7F21">
        <w:rPr>
          <w:rFonts w:ascii="Times New Roman" w:eastAsia="Times New Roman" w:hAnsi="Times New Roman" w:cs="Times New Roman"/>
          <w:sz w:val="24"/>
          <w:szCs w:val="24"/>
          <w:lang w:eastAsia="tr-TR"/>
        </w:rPr>
        <w:t xml:space="preserve"> potansiyeline bağlı lokal </w:t>
      </w:r>
      <w:proofErr w:type="spellStart"/>
      <w:r w:rsidRPr="009F7F21">
        <w:rPr>
          <w:rFonts w:ascii="Times New Roman" w:eastAsia="Times New Roman" w:hAnsi="Times New Roman" w:cs="Times New Roman"/>
          <w:sz w:val="24"/>
          <w:szCs w:val="24"/>
          <w:lang w:eastAsia="tr-TR"/>
        </w:rPr>
        <w:t>toksisite</w:t>
      </w:r>
      <w:proofErr w:type="spellEnd"/>
      <w:r w:rsidRPr="009F7F21">
        <w:rPr>
          <w:rFonts w:ascii="Times New Roman" w:eastAsia="Times New Roman" w:hAnsi="Times New Roman" w:cs="Times New Roman"/>
          <w:sz w:val="24"/>
          <w:szCs w:val="24"/>
          <w:lang w:eastAsia="tr-TR"/>
        </w:rPr>
        <w:t xml:space="preserve"> gözlenmiş, ancak bu etkiler NOAEL belirlenmesinde dikkate alınmamıştır. F0 jenerasyonunda en yüksek dozda tedaviye bağlı </w:t>
      </w:r>
      <w:proofErr w:type="spellStart"/>
      <w:r w:rsidRPr="009F7F21">
        <w:rPr>
          <w:rFonts w:ascii="Times New Roman" w:eastAsia="Times New Roman" w:hAnsi="Times New Roman" w:cs="Times New Roman"/>
          <w:sz w:val="24"/>
          <w:szCs w:val="24"/>
          <w:lang w:eastAsia="tr-TR"/>
        </w:rPr>
        <w:t>advers</w:t>
      </w:r>
      <w:proofErr w:type="spellEnd"/>
      <w:r w:rsidRPr="009F7F21">
        <w:rPr>
          <w:rFonts w:ascii="Times New Roman" w:eastAsia="Times New Roman" w:hAnsi="Times New Roman" w:cs="Times New Roman"/>
          <w:sz w:val="24"/>
          <w:szCs w:val="24"/>
          <w:lang w:eastAsia="tr-TR"/>
        </w:rPr>
        <w:t xml:space="preserve"> etki görülmemesi nedeniyle tekrarlayan doz </w:t>
      </w:r>
      <w:proofErr w:type="spellStart"/>
      <w:r w:rsidRPr="009F7F21">
        <w:rPr>
          <w:rFonts w:ascii="Times New Roman" w:eastAsia="Times New Roman" w:hAnsi="Times New Roman" w:cs="Times New Roman"/>
          <w:sz w:val="24"/>
          <w:szCs w:val="24"/>
          <w:lang w:eastAsia="tr-TR"/>
        </w:rPr>
        <w:t>toksisitesi</w:t>
      </w:r>
      <w:proofErr w:type="spellEnd"/>
      <w:r w:rsidRPr="009F7F21">
        <w:rPr>
          <w:rFonts w:ascii="Times New Roman" w:eastAsia="Times New Roman" w:hAnsi="Times New Roman" w:cs="Times New Roman"/>
          <w:sz w:val="24"/>
          <w:szCs w:val="24"/>
          <w:lang w:eastAsia="tr-TR"/>
        </w:rPr>
        <w:t xml:space="preserve"> için NOAEL 300 mg/kg/gün olarak belirlenmiştir</w:t>
      </w:r>
      <w:r w:rsidR="00C94279">
        <w:rPr>
          <w:rFonts w:ascii="Times New Roman" w:eastAsia="Times New Roman" w:hAnsi="Times New Roman" w:cs="Times New Roman"/>
          <w:sz w:val="24"/>
          <w:szCs w:val="24"/>
          <w:lang w:eastAsia="tr-TR"/>
        </w:rPr>
        <w:t xml:space="preserve">. </w:t>
      </w:r>
      <w:proofErr w:type="spellStart"/>
      <w:r w:rsidRPr="009F7F21">
        <w:rPr>
          <w:rFonts w:ascii="Times New Roman" w:eastAsia="Times New Roman" w:hAnsi="Times New Roman" w:cs="Times New Roman"/>
          <w:sz w:val="24"/>
          <w:szCs w:val="24"/>
          <w:lang w:eastAsia="tr-TR"/>
        </w:rPr>
        <w:t>Dermal</w:t>
      </w:r>
      <w:proofErr w:type="spellEnd"/>
      <w:r w:rsidRPr="009F7F21">
        <w:rPr>
          <w:rFonts w:ascii="Times New Roman" w:eastAsia="Times New Roman" w:hAnsi="Times New Roman" w:cs="Times New Roman"/>
          <w:sz w:val="24"/>
          <w:szCs w:val="24"/>
          <w:lang w:eastAsia="tr-TR"/>
        </w:rPr>
        <w:t xml:space="preserve"> </w:t>
      </w:r>
      <w:proofErr w:type="spellStart"/>
      <w:r w:rsidRPr="009F7F21">
        <w:rPr>
          <w:rFonts w:ascii="Times New Roman" w:eastAsia="Times New Roman" w:hAnsi="Times New Roman" w:cs="Times New Roman"/>
          <w:sz w:val="24"/>
          <w:szCs w:val="24"/>
          <w:lang w:eastAsia="tr-TR"/>
        </w:rPr>
        <w:t>absorbsiyon</w:t>
      </w:r>
      <w:proofErr w:type="spellEnd"/>
      <w:r w:rsidRPr="009F7F21">
        <w:rPr>
          <w:rFonts w:ascii="Times New Roman" w:eastAsia="Times New Roman" w:hAnsi="Times New Roman" w:cs="Times New Roman"/>
          <w:sz w:val="24"/>
          <w:szCs w:val="24"/>
          <w:lang w:eastAsia="tr-TR"/>
        </w:rPr>
        <w:t xml:space="preserve"> çalışmasına göre uygulanan dozun %60,2’sinin emildiği kabul edilerek sistemik NOAEL değeri 180,6 mg/kg/gün olarak hesaplanmıştır (</w:t>
      </w:r>
      <w:proofErr w:type="spellStart"/>
      <w:r w:rsidRPr="009F7F21">
        <w:rPr>
          <w:rFonts w:ascii="Times New Roman" w:eastAsia="Times New Roman" w:hAnsi="Times New Roman" w:cs="Times New Roman"/>
          <w:sz w:val="24"/>
          <w:szCs w:val="24"/>
          <w:lang w:eastAsia="tr-TR"/>
        </w:rPr>
        <w:t>Api</w:t>
      </w:r>
      <w:proofErr w:type="spellEnd"/>
      <w:r w:rsidRPr="009F7F21">
        <w:rPr>
          <w:rFonts w:ascii="Times New Roman" w:eastAsia="Times New Roman" w:hAnsi="Times New Roman" w:cs="Times New Roman"/>
          <w:sz w:val="24"/>
          <w:szCs w:val="24"/>
          <w:lang w:eastAsia="tr-TR"/>
        </w:rPr>
        <w:t xml:space="preserve"> ve ark., 2022).</w:t>
      </w:r>
    </w:p>
    <w:p w14:paraId="1513E0B8" w14:textId="77777777" w:rsidR="00336BE2" w:rsidRDefault="009F7F21" w:rsidP="00336BE2">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sz w:val="24"/>
          <w:szCs w:val="24"/>
          <w:lang w:eastAsia="tr-TR"/>
        </w:rPr>
        <w:t xml:space="preserve">Başka bir OECD 421/GLP </w:t>
      </w:r>
      <w:r w:rsidR="00A945BE">
        <w:rPr>
          <w:rFonts w:ascii="Times New Roman" w:eastAsia="Times New Roman" w:hAnsi="Times New Roman" w:cs="Times New Roman"/>
          <w:sz w:val="24"/>
          <w:szCs w:val="24"/>
          <w:lang w:eastAsia="tr-TR"/>
        </w:rPr>
        <w:t xml:space="preserve">uyumlu </w:t>
      </w:r>
      <w:r w:rsidRPr="009F7F21">
        <w:rPr>
          <w:rFonts w:ascii="Times New Roman" w:eastAsia="Times New Roman" w:hAnsi="Times New Roman" w:cs="Times New Roman"/>
          <w:sz w:val="24"/>
          <w:szCs w:val="24"/>
          <w:lang w:eastAsia="tr-TR"/>
        </w:rPr>
        <w:t xml:space="preserve">çalışmasında, </w:t>
      </w:r>
      <w:proofErr w:type="spellStart"/>
      <w:r w:rsidRPr="009F7F21">
        <w:rPr>
          <w:rFonts w:ascii="Times New Roman" w:eastAsia="Times New Roman" w:hAnsi="Times New Roman" w:cs="Times New Roman"/>
          <w:sz w:val="24"/>
          <w:szCs w:val="24"/>
          <w:lang w:eastAsia="tr-TR"/>
        </w:rPr>
        <w:t>geraniol</w:t>
      </w:r>
      <w:proofErr w:type="spellEnd"/>
      <w:r w:rsidRPr="009F7F21">
        <w:rPr>
          <w:rFonts w:ascii="Times New Roman" w:eastAsia="Times New Roman" w:hAnsi="Times New Roman" w:cs="Times New Roman"/>
          <w:sz w:val="24"/>
          <w:szCs w:val="24"/>
          <w:lang w:eastAsia="tr-TR"/>
        </w:rPr>
        <w:t xml:space="preserve"> oral </w:t>
      </w:r>
      <w:proofErr w:type="spellStart"/>
      <w:r w:rsidRPr="009F7F21">
        <w:rPr>
          <w:rFonts w:ascii="Times New Roman" w:eastAsia="Times New Roman" w:hAnsi="Times New Roman" w:cs="Times New Roman"/>
          <w:sz w:val="24"/>
          <w:szCs w:val="24"/>
          <w:lang w:eastAsia="tr-TR"/>
        </w:rPr>
        <w:t>gavaj</w:t>
      </w:r>
      <w:proofErr w:type="spellEnd"/>
      <w:r w:rsidRPr="009F7F21">
        <w:rPr>
          <w:rFonts w:ascii="Times New Roman" w:eastAsia="Times New Roman" w:hAnsi="Times New Roman" w:cs="Times New Roman"/>
          <w:sz w:val="24"/>
          <w:szCs w:val="24"/>
          <w:lang w:eastAsia="tr-TR"/>
        </w:rPr>
        <w:t xml:space="preserve"> yoluyla 0, 100, 300 ve 1000 mg/kg/gün dozlarında uygulanmıştır. Hiçbir grupta </w:t>
      </w:r>
      <w:proofErr w:type="spellStart"/>
      <w:r w:rsidRPr="009F7F21">
        <w:rPr>
          <w:rFonts w:ascii="Times New Roman" w:eastAsia="Times New Roman" w:hAnsi="Times New Roman" w:cs="Times New Roman"/>
          <w:sz w:val="24"/>
          <w:szCs w:val="24"/>
          <w:lang w:eastAsia="tr-TR"/>
        </w:rPr>
        <w:t>mortalite</w:t>
      </w:r>
      <w:proofErr w:type="spellEnd"/>
      <w:r w:rsidRPr="009F7F21">
        <w:rPr>
          <w:rFonts w:ascii="Times New Roman" w:eastAsia="Times New Roman" w:hAnsi="Times New Roman" w:cs="Times New Roman"/>
          <w:sz w:val="24"/>
          <w:szCs w:val="24"/>
          <w:lang w:eastAsia="tr-TR"/>
        </w:rPr>
        <w:t xml:space="preserve"> veya belirgin klinik </w:t>
      </w:r>
      <w:proofErr w:type="spellStart"/>
      <w:r w:rsidRPr="009F7F21">
        <w:rPr>
          <w:rFonts w:ascii="Times New Roman" w:eastAsia="Times New Roman" w:hAnsi="Times New Roman" w:cs="Times New Roman"/>
          <w:sz w:val="24"/>
          <w:szCs w:val="24"/>
          <w:lang w:eastAsia="tr-TR"/>
        </w:rPr>
        <w:t>toksisite</w:t>
      </w:r>
      <w:proofErr w:type="spellEnd"/>
      <w:r w:rsidRPr="009F7F21">
        <w:rPr>
          <w:rFonts w:ascii="Times New Roman" w:eastAsia="Times New Roman" w:hAnsi="Times New Roman" w:cs="Times New Roman"/>
          <w:sz w:val="24"/>
          <w:szCs w:val="24"/>
          <w:lang w:eastAsia="tr-TR"/>
        </w:rPr>
        <w:t xml:space="preserve"> gözlenmemiştir. Ancak özellikle dişilerde yem tüketiminde azalma ve en yüksek dozda vücut ağırlığında düşüş görülmüştür. </w:t>
      </w:r>
      <w:proofErr w:type="spellStart"/>
      <w:r w:rsidRPr="009F7F21">
        <w:rPr>
          <w:rFonts w:ascii="Times New Roman" w:eastAsia="Times New Roman" w:hAnsi="Times New Roman" w:cs="Times New Roman"/>
          <w:sz w:val="24"/>
          <w:szCs w:val="24"/>
          <w:lang w:eastAsia="tr-TR"/>
        </w:rPr>
        <w:t>Histopatolojik</w:t>
      </w:r>
      <w:proofErr w:type="spellEnd"/>
      <w:r w:rsidRPr="009F7F21">
        <w:rPr>
          <w:rFonts w:ascii="Times New Roman" w:eastAsia="Times New Roman" w:hAnsi="Times New Roman" w:cs="Times New Roman"/>
          <w:sz w:val="24"/>
          <w:szCs w:val="24"/>
          <w:lang w:eastAsia="tr-TR"/>
        </w:rPr>
        <w:t xml:space="preserve"> veya organ ağırlığına bağlı değişiklik saptanmamıştır. Orta ve yüksek dozlarda </w:t>
      </w:r>
      <w:proofErr w:type="spellStart"/>
      <w:r w:rsidRPr="009F7F21">
        <w:rPr>
          <w:rFonts w:ascii="Times New Roman" w:eastAsia="Times New Roman" w:hAnsi="Times New Roman" w:cs="Times New Roman"/>
          <w:sz w:val="24"/>
          <w:szCs w:val="24"/>
          <w:lang w:eastAsia="tr-TR"/>
        </w:rPr>
        <w:t>fetal</w:t>
      </w:r>
      <w:proofErr w:type="spellEnd"/>
      <w:r w:rsidRPr="009F7F21">
        <w:rPr>
          <w:rFonts w:ascii="Times New Roman" w:eastAsia="Times New Roman" w:hAnsi="Times New Roman" w:cs="Times New Roman"/>
          <w:sz w:val="24"/>
          <w:szCs w:val="24"/>
          <w:lang w:eastAsia="tr-TR"/>
        </w:rPr>
        <w:t xml:space="preserve"> </w:t>
      </w:r>
      <w:proofErr w:type="spellStart"/>
      <w:r w:rsidRPr="009F7F21">
        <w:rPr>
          <w:rFonts w:ascii="Times New Roman" w:eastAsia="Times New Roman" w:hAnsi="Times New Roman" w:cs="Times New Roman"/>
          <w:sz w:val="24"/>
          <w:szCs w:val="24"/>
          <w:lang w:eastAsia="tr-TR"/>
        </w:rPr>
        <w:t>mortalite</w:t>
      </w:r>
      <w:proofErr w:type="spellEnd"/>
      <w:r w:rsidRPr="009F7F21">
        <w:rPr>
          <w:rFonts w:ascii="Times New Roman" w:eastAsia="Times New Roman" w:hAnsi="Times New Roman" w:cs="Times New Roman"/>
          <w:sz w:val="24"/>
          <w:szCs w:val="24"/>
          <w:lang w:eastAsia="tr-TR"/>
        </w:rPr>
        <w:t xml:space="preserve"> ve gelişimsel etkiler bildirilmiştir. Genel </w:t>
      </w:r>
      <w:proofErr w:type="spellStart"/>
      <w:r w:rsidRPr="009F7F21">
        <w:rPr>
          <w:rFonts w:ascii="Times New Roman" w:eastAsia="Times New Roman" w:hAnsi="Times New Roman" w:cs="Times New Roman"/>
          <w:sz w:val="24"/>
          <w:szCs w:val="24"/>
          <w:lang w:eastAsia="tr-TR"/>
        </w:rPr>
        <w:t>toksisite</w:t>
      </w:r>
      <w:proofErr w:type="spellEnd"/>
      <w:r w:rsidRPr="009F7F21">
        <w:rPr>
          <w:rFonts w:ascii="Times New Roman" w:eastAsia="Times New Roman" w:hAnsi="Times New Roman" w:cs="Times New Roman"/>
          <w:sz w:val="24"/>
          <w:szCs w:val="24"/>
          <w:lang w:eastAsia="tr-TR"/>
        </w:rPr>
        <w:t xml:space="preserve"> için NOAEL 300 mg/kg/gün olarak belirlenmiştir (</w:t>
      </w:r>
      <w:proofErr w:type="spellStart"/>
      <w:r w:rsidRPr="009F7F21">
        <w:rPr>
          <w:rFonts w:ascii="Times New Roman" w:eastAsia="Times New Roman" w:hAnsi="Times New Roman" w:cs="Times New Roman"/>
          <w:sz w:val="24"/>
          <w:szCs w:val="24"/>
          <w:lang w:eastAsia="tr-TR"/>
        </w:rPr>
        <w:t>Api</w:t>
      </w:r>
      <w:proofErr w:type="spellEnd"/>
      <w:r w:rsidRPr="009F7F21">
        <w:rPr>
          <w:rFonts w:ascii="Times New Roman" w:eastAsia="Times New Roman" w:hAnsi="Times New Roman" w:cs="Times New Roman"/>
          <w:sz w:val="24"/>
          <w:szCs w:val="24"/>
          <w:lang w:eastAsia="tr-TR"/>
        </w:rPr>
        <w:t xml:space="preserve"> ve ark., 2022).</w:t>
      </w:r>
    </w:p>
    <w:p w14:paraId="7525DEF6" w14:textId="4DAA3083" w:rsidR="009F7F21" w:rsidRPr="009F7F21" w:rsidRDefault="009F7F21" w:rsidP="00336BE2">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proofErr w:type="spellStart"/>
      <w:r w:rsidRPr="009F7F21">
        <w:rPr>
          <w:rFonts w:ascii="Times New Roman" w:eastAsia="Times New Roman" w:hAnsi="Times New Roman" w:cs="Times New Roman"/>
          <w:sz w:val="24"/>
          <w:szCs w:val="24"/>
          <w:lang w:eastAsia="tr-TR"/>
        </w:rPr>
        <w:t>Dermal</w:t>
      </w:r>
      <w:proofErr w:type="spellEnd"/>
      <w:r w:rsidRPr="009F7F21">
        <w:rPr>
          <w:rFonts w:ascii="Times New Roman" w:eastAsia="Times New Roman" w:hAnsi="Times New Roman" w:cs="Times New Roman"/>
          <w:sz w:val="24"/>
          <w:szCs w:val="24"/>
          <w:lang w:eastAsia="tr-TR"/>
        </w:rPr>
        <w:t xml:space="preserve"> çalışmanın daha konservatif olması nedeniyle tekrarlayan doz </w:t>
      </w:r>
      <w:proofErr w:type="spellStart"/>
      <w:r w:rsidRPr="009F7F21">
        <w:rPr>
          <w:rFonts w:ascii="Times New Roman" w:eastAsia="Times New Roman" w:hAnsi="Times New Roman" w:cs="Times New Roman"/>
          <w:sz w:val="24"/>
          <w:szCs w:val="24"/>
          <w:lang w:eastAsia="tr-TR"/>
        </w:rPr>
        <w:t>toksisitesi</w:t>
      </w:r>
      <w:proofErr w:type="spellEnd"/>
      <w:r w:rsidRPr="009F7F21">
        <w:rPr>
          <w:rFonts w:ascii="Times New Roman" w:eastAsia="Times New Roman" w:hAnsi="Times New Roman" w:cs="Times New Roman"/>
          <w:sz w:val="24"/>
          <w:szCs w:val="24"/>
          <w:lang w:eastAsia="tr-TR"/>
        </w:rPr>
        <w:t xml:space="preserve"> için esas NOAEL değeri 180,6 mg/kg/gün olarak kabul edilmiştir. Buna OECD yaklaşımı doğrultusunda 3 katlık güvenlik faktörü uygulanarak düzeltilmiş NOAEL değeri 60,2 mg/kg/gün olarak hesaplanmıştır (</w:t>
      </w:r>
      <w:proofErr w:type="spellStart"/>
      <w:r w:rsidRPr="009F7F21">
        <w:rPr>
          <w:rFonts w:ascii="Times New Roman" w:eastAsia="Times New Roman" w:hAnsi="Times New Roman" w:cs="Times New Roman"/>
          <w:sz w:val="24"/>
          <w:szCs w:val="24"/>
          <w:lang w:eastAsia="tr-TR"/>
        </w:rPr>
        <w:t>Api</w:t>
      </w:r>
      <w:proofErr w:type="spellEnd"/>
      <w:r w:rsidRPr="009F7F21">
        <w:rPr>
          <w:rFonts w:ascii="Times New Roman" w:eastAsia="Times New Roman" w:hAnsi="Times New Roman" w:cs="Times New Roman"/>
          <w:sz w:val="24"/>
          <w:szCs w:val="24"/>
          <w:lang w:eastAsia="tr-TR"/>
        </w:rPr>
        <w:t xml:space="preserve"> ve ark., 2022).</w:t>
      </w:r>
    </w:p>
    <w:p w14:paraId="456D1DF6" w14:textId="77777777" w:rsidR="009F7F21" w:rsidRPr="009F7F21" w:rsidRDefault="009F7F21" w:rsidP="00C4004B">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sz w:val="24"/>
          <w:szCs w:val="24"/>
          <w:lang w:eastAsia="tr-TR"/>
        </w:rPr>
        <w:t xml:space="preserve">Ayrıca, </w:t>
      </w:r>
      <w:proofErr w:type="spellStart"/>
      <w:r w:rsidRPr="009F7F21">
        <w:rPr>
          <w:rFonts w:ascii="Times New Roman" w:eastAsia="Times New Roman" w:hAnsi="Times New Roman" w:cs="Times New Roman"/>
          <w:i/>
          <w:iCs/>
          <w:sz w:val="24"/>
          <w:szCs w:val="24"/>
          <w:lang w:eastAsia="tr-TR"/>
        </w:rPr>
        <w:t>Cymbopogon</w:t>
      </w:r>
      <w:proofErr w:type="spellEnd"/>
      <w:r w:rsidRPr="009F7F21">
        <w:rPr>
          <w:rFonts w:ascii="Times New Roman" w:eastAsia="Times New Roman" w:hAnsi="Times New Roman" w:cs="Times New Roman"/>
          <w:i/>
          <w:iCs/>
          <w:sz w:val="24"/>
          <w:szCs w:val="24"/>
          <w:lang w:eastAsia="tr-TR"/>
        </w:rPr>
        <w:t xml:space="preserve"> martini</w:t>
      </w:r>
      <w:r w:rsidRPr="009F7F21">
        <w:rPr>
          <w:rFonts w:ascii="Times New Roman" w:eastAsia="Times New Roman" w:hAnsi="Times New Roman" w:cs="Times New Roman"/>
          <w:sz w:val="24"/>
          <w:szCs w:val="24"/>
          <w:lang w:eastAsia="tr-TR"/>
        </w:rPr>
        <w:t xml:space="preserve"> uçucu yağı ile yapılan 28 günlük tekrarlayan doz </w:t>
      </w:r>
      <w:proofErr w:type="spellStart"/>
      <w:r w:rsidRPr="009F7F21">
        <w:rPr>
          <w:rFonts w:ascii="Times New Roman" w:eastAsia="Times New Roman" w:hAnsi="Times New Roman" w:cs="Times New Roman"/>
          <w:sz w:val="24"/>
          <w:szCs w:val="24"/>
          <w:lang w:eastAsia="tr-TR"/>
        </w:rPr>
        <w:t>toksisite</w:t>
      </w:r>
      <w:proofErr w:type="spellEnd"/>
      <w:r w:rsidRPr="009F7F21">
        <w:rPr>
          <w:rFonts w:ascii="Times New Roman" w:eastAsia="Times New Roman" w:hAnsi="Times New Roman" w:cs="Times New Roman"/>
          <w:sz w:val="24"/>
          <w:szCs w:val="24"/>
          <w:lang w:eastAsia="tr-TR"/>
        </w:rPr>
        <w:t xml:space="preserve"> çalışmasında (fare modeli), 500 ve 1000 mg/kg/gün dozlarında hematolojik ve biyokimyasal parametrelerde anlamlı değişiklik gözlenmemiş, karaciğer ve böbrek dokularında </w:t>
      </w:r>
      <w:proofErr w:type="spellStart"/>
      <w:r w:rsidRPr="009F7F21">
        <w:rPr>
          <w:rFonts w:ascii="Times New Roman" w:eastAsia="Times New Roman" w:hAnsi="Times New Roman" w:cs="Times New Roman"/>
          <w:sz w:val="24"/>
          <w:szCs w:val="24"/>
          <w:lang w:eastAsia="tr-TR"/>
        </w:rPr>
        <w:t>histopatolojik</w:t>
      </w:r>
      <w:proofErr w:type="spellEnd"/>
      <w:r w:rsidRPr="009F7F21">
        <w:rPr>
          <w:rFonts w:ascii="Times New Roman" w:eastAsia="Times New Roman" w:hAnsi="Times New Roman" w:cs="Times New Roman"/>
          <w:sz w:val="24"/>
          <w:szCs w:val="24"/>
          <w:lang w:eastAsia="tr-TR"/>
        </w:rPr>
        <w:t xml:space="preserve"> hasar saptanmamıştır. NOAEL değeri ≥1000 mg/kg/gün olarak değerlendirilmiştir (</w:t>
      </w:r>
      <w:proofErr w:type="spellStart"/>
      <w:r w:rsidRPr="009F7F21">
        <w:rPr>
          <w:rFonts w:ascii="Times New Roman" w:eastAsia="Times New Roman" w:hAnsi="Times New Roman" w:cs="Times New Roman"/>
          <w:sz w:val="24"/>
          <w:szCs w:val="24"/>
          <w:lang w:eastAsia="tr-TR"/>
        </w:rPr>
        <w:t>Ayenew</w:t>
      </w:r>
      <w:proofErr w:type="spellEnd"/>
      <w:r w:rsidRPr="009F7F21">
        <w:rPr>
          <w:rFonts w:ascii="Times New Roman" w:eastAsia="Times New Roman" w:hAnsi="Times New Roman" w:cs="Times New Roman"/>
          <w:sz w:val="24"/>
          <w:szCs w:val="24"/>
          <w:lang w:eastAsia="tr-TR"/>
        </w:rPr>
        <w:t xml:space="preserve"> ve ark., 2022).</w:t>
      </w:r>
    </w:p>
    <w:p w14:paraId="0623351F" w14:textId="18709CF8" w:rsidR="009F7F21" w:rsidRPr="009F7F21" w:rsidRDefault="009F7F21" w:rsidP="00C4004B">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proofErr w:type="spellStart"/>
      <w:r w:rsidRPr="009F7F21">
        <w:rPr>
          <w:rFonts w:ascii="Times New Roman" w:eastAsia="Times New Roman" w:hAnsi="Times New Roman" w:cs="Times New Roman"/>
          <w:sz w:val="24"/>
          <w:szCs w:val="24"/>
          <w:lang w:eastAsia="tr-TR"/>
        </w:rPr>
        <w:t>EFSA’ya</w:t>
      </w:r>
      <w:proofErr w:type="spellEnd"/>
      <w:r w:rsidRPr="009F7F21">
        <w:rPr>
          <w:rFonts w:ascii="Times New Roman" w:eastAsia="Times New Roman" w:hAnsi="Times New Roman" w:cs="Times New Roman"/>
          <w:sz w:val="24"/>
          <w:szCs w:val="24"/>
          <w:lang w:eastAsia="tr-TR"/>
        </w:rPr>
        <w:t xml:space="preserve"> göre </w:t>
      </w:r>
      <w:proofErr w:type="spellStart"/>
      <w:r w:rsidRPr="009F7F21">
        <w:rPr>
          <w:rFonts w:ascii="Times New Roman" w:eastAsia="Times New Roman" w:hAnsi="Times New Roman" w:cs="Times New Roman"/>
          <w:sz w:val="24"/>
          <w:szCs w:val="24"/>
          <w:lang w:eastAsia="tr-TR"/>
        </w:rPr>
        <w:t>geraniol</w:t>
      </w:r>
      <w:proofErr w:type="spellEnd"/>
      <w:r w:rsidRPr="009F7F21">
        <w:rPr>
          <w:rFonts w:ascii="Times New Roman" w:eastAsia="Times New Roman" w:hAnsi="Times New Roman" w:cs="Times New Roman"/>
          <w:sz w:val="24"/>
          <w:szCs w:val="24"/>
          <w:lang w:eastAsia="tr-TR"/>
        </w:rPr>
        <w:t xml:space="preserve">, </w:t>
      </w:r>
      <w:proofErr w:type="spellStart"/>
      <w:r w:rsidRPr="009F7F21">
        <w:rPr>
          <w:rFonts w:ascii="Times New Roman" w:eastAsia="Times New Roman" w:hAnsi="Times New Roman" w:cs="Times New Roman"/>
          <w:sz w:val="24"/>
          <w:szCs w:val="24"/>
          <w:lang w:eastAsia="tr-TR"/>
        </w:rPr>
        <w:t>sitral</w:t>
      </w:r>
      <w:proofErr w:type="spellEnd"/>
      <w:r w:rsidRPr="009F7F21">
        <w:rPr>
          <w:rFonts w:ascii="Times New Roman" w:eastAsia="Times New Roman" w:hAnsi="Times New Roman" w:cs="Times New Roman"/>
          <w:sz w:val="24"/>
          <w:szCs w:val="24"/>
          <w:lang w:eastAsia="tr-TR"/>
        </w:rPr>
        <w:t xml:space="preserve"> ve </w:t>
      </w:r>
      <w:proofErr w:type="spellStart"/>
      <w:r w:rsidRPr="009F7F21">
        <w:rPr>
          <w:rFonts w:ascii="Times New Roman" w:eastAsia="Times New Roman" w:hAnsi="Times New Roman" w:cs="Times New Roman"/>
          <w:sz w:val="24"/>
          <w:szCs w:val="24"/>
          <w:lang w:eastAsia="tr-TR"/>
        </w:rPr>
        <w:t>geranil</w:t>
      </w:r>
      <w:proofErr w:type="spellEnd"/>
      <w:r w:rsidRPr="009F7F21">
        <w:rPr>
          <w:rFonts w:ascii="Times New Roman" w:eastAsia="Times New Roman" w:hAnsi="Times New Roman" w:cs="Times New Roman"/>
          <w:sz w:val="24"/>
          <w:szCs w:val="24"/>
          <w:lang w:eastAsia="tr-TR"/>
        </w:rPr>
        <w:t xml:space="preserve"> asetat için grup kabul edilebilir günlük alım (</w:t>
      </w:r>
      <w:proofErr w:type="spellStart"/>
      <w:r w:rsidR="00B70FFA">
        <w:rPr>
          <w:rFonts w:ascii="Times New Roman" w:eastAsia="Times New Roman" w:hAnsi="Times New Roman" w:cs="Times New Roman"/>
          <w:sz w:val="24"/>
          <w:szCs w:val="24"/>
          <w:lang w:eastAsia="tr-TR"/>
        </w:rPr>
        <w:t>Acceptable</w:t>
      </w:r>
      <w:proofErr w:type="spellEnd"/>
      <w:r w:rsidR="00B70FFA">
        <w:rPr>
          <w:rFonts w:ascii="Times New Roman" w:eastAsia="Times New Roman" w:hAnsi="Times New Roman" w:cs="Times New Roman"/>
          <w:sz w:val="24"/>
          <w:szCs w:val="24"/>
          <w:lang w:eastAsia="tr-TR"/>
        </w:rPr>
        <w:t xml:space="preserve"> Daily </w:t>
      </w:r>
      <w:proofErr w:type="spellStart"/>
      <w:proofErr w:type="gramStart"/>
      <w:r w:rsidR="00B70FFA">
        <w:rPr>
          <w:rFonts w:ascii="Times New Roman" w:eastAsia="Times New Roman" w:hAnsi="Times New Roman" w:cs="Times New Roman"/>
          <w:sz w:val="24"/>
          <w:szCs w:val="24"/>
          <w:lang w:eastAsia="tr-TR"/>
        </w:rPr>
        <w:t>Intake</w:t>
      </w:r>
      <w:proofErr w:type="spellEnd"/>
      <w:r w:rsidR="00B70FFA">
        <w:rPr>
          <w:rFonts w:ascii="Times New Roman" w:eastAsia="Times New Roman" w:hAnsi="Times New Roman" w:cs="Times New Roman"/>
          <w:sz w:val="24"/>
          <w:szCs w:val="24"/>
          <w:lang w:eastAsia="tr-TR"/>
        </w:rPr>
        <w:t xml:space="preserve"> -</w:t>
      </w:r>
      <w:proofErr w:type="gramEnd"/>
      <w:r w:rsidR="00B70FFA">
        <w:rPr>
          <w:rFonts w:ascii="Times New Roman" w:eastAsia="Times New Roman" w:hAnsi="Times New Roman" w:cs="Times New Roman"/>
          <w:sz w:val="24"/>
          <w:szCs w:val="24"/>
          <w:lang w:eastAsia="tr-TR"/>
        </w:rPr>
        <w:t xml:space="preserve"> </w:t>
      </w:r>
      <w:r w:rsidRPr="009F7F21">
        <w:rPr>
          <w:rFonts w:ascii="Times New Roman" w:eastAsia="Times New Roman" w:hAnsi="Times New Roman" w:cs="Times New Roman"/>
          <w:sz w:val="24"/>
          <w:szCs w:val="24"/>
          <w:lang w:eastAsia="tr-TR"/>
        </w:rPr>
        <w:t>ADI) değeri 0,5 mg/kg vücut ağırlığıdır (EFSA, 2016; WHO, 1980; WHO, 2004).</w:t>
      </w:r>
    </w:p>
    <w:p w14:paraId="012C2D50" w14:textId="77777777" w:rsidR="009F7F21" w:rsidRPr="00FC6DFA" w:rsidRDefault="009F7F21" w:rsidP="00FC6DFA">
      <w:pPr>
        <w:spacing w:before="120" w:after="120" w:line="276" w:lineRule="auto"/>
        <w:ind w:left="1241" w:hanging="442"/>
        <w:jc w:val="both"/>
        <w:rPr>
          <w:rFonts w:ascii="Times New Roman" w:eastAsia="Times New Roman" w:hAnsi="Times New Roman" w:cs="Times New Roman"/>
          <w:b/>
          <w:bCs/>
          <w:i/>
          <w:sz w:val="24"/>
          <w:szCs w:val="24"/>
          <w:lang w:eastAsia="tr-TR"/>
        </w:rPr>
      </w:pPr>
      <w:r w:rsidRPr="00FC6DFA">
        <w:rPr>
          <w:rFonts w:ascii="Times New Roman" w:eastAsia="Times New Roman" w:hAnsi="Times New Roman" w:cs="Times New Roman"/>
          <w:b/>
          <w:bCs/>
          <w:i/>
          <w:sz w:val="24"/>
          <w:szCs w:val="24"/>
          <w:lang w:eastAsia="tr-TR"/>
        </w:rPr>
        <w:t xml:space="preserve">8.3. </w:t>
      </w:r>
      <w:proofErr w:type="spellStart"/>
      <w:r w:rsidRPr="00FC6DFA">
        <w:rPr>
          <w:rFonts w:ascii="Times New Roman" w:eastAsia="Times New Roman" w:hAnsi="Times New Roman" w:cs="Times New Roman"/>
          <w:b/>
          <w:bCs/>
          <w:i/>
          <w:sz w:val="24"/>
          <w:szCs w:val="24"/>
          <w:lang w:eastAsia="tr-TR"/>
        </w:rPr>
        <w:t>Genotoksisite</w:t>
      </w:r>
      <w:proofErr w:type="spellEnd"/>
    </w:p>
    <w:p w14:paraId="16D315E7" w14:textId="6FE98D13" w:rsidR="009F7F21" w:rsidRPr="009F7F21" w:rsidRDefault="009F7F21" w:rsidP="009C516A">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i/>
          <w:iCs/>
          <w:sz w:val="24"/>
          <w:szCs w:val="24"/>
          <w:lang w:eastAsia="tr-TR"/>
        </w:rPr>
        <w:t>C</w:t>
      </w:r>
      <w:r w:rsidR="00336BE2">
        <w:rPr>
          <w:rFonts w:ascii="Times New Roman" w:eastAsia="Times New Roman" w:hAnsi="Times New Roman" w:cs="Times New Roman"/>
          <w:i/>
          <w:iCs/>
          <w:sz w:val="24"/>
          <w:szCs w:val="24"/>
          <w:lang w:eastAsia="tr-TR"/>
        </w:rPr>
        <w:t>.</w:t>
      </w:r>
      <w:r w:rsidRPr="009F7F21">
        <w:rPr>
          <w:rFonts w:ascii="Times New Roman" w:eastAsia="Times New Roman" w:hAnsi="Times New Roman" w:cs="Times New Roman"/>
          <w:i/>
          <w:iCs/>
          <w:sz w:val="24"/>
          <w:szCs w:val="24"/>
          <w:lang w:eastAsia="tr-TR"/>
        </w:rPr>
        <w:t xml:space="preserve"> martini</w:t>
      </w:r>
      <w:r w:rsidRPr="009F7F21">
        <w:rPr>
          <w:rFonts w:ascii="Times New Roman" w:eastAsia="Times New Roman" w:hAnsi="Times New Roman" w:cs="Times New Roman"/>
          <w:sz w:val="24"/>
          <w:szCs w:val="24"/>
          <w:lang w:eastAsia="tr-TR"/>
        </w:rPr>
        <w:t xml:space="preserve"> uçucu yağına ilişkin doğrudan </w:t>
      </w:r>
      <w:proofErr w:type="spellStart"/>
      <w:r w:rsidRPr="009F7F21">
        <w:rPr>
          <w:rFonts w:ascii="Times New Roman" w:eastAsia="Times New Roman" w:hAnsi="Times New Roman" w:cs="Times New Roman"/>
          <w:sz w:val="24"/>
          <w:szCs w:val="24"/>
          <w:lang w:eastAsia="tr-TR"/>
        </w:rPr>
        <w:t>genotoksisite</w:t>
      </w:r>
      <w:proofErr w:type="spellEnd"/>
      <w:r w:rsidRPr="009F7F21">
        <w:rPr>
          <w:rFonts w:ascii="Times New Roman" w:eastAsia="Times New Roman" w:hAnsi="Times New Roman" w:cs="Times New Roman"/>
          <w:sz w:val="24"/>
          <w:szCs w:val="24"/>
          <w:lang w:eastAsia="tr-TR"/>
        </w:rPr>
        <w:t xml:space="preserve"> çalışmaları sınırlıdır. Bununla birlikte, ana bileşen olan </w:t>
      </w:r>
      <w:proofErr w:type="spellStart"/>
      <w:r w:rsidRPr="009F7F21">
        <w:rPr>
          <w:rFonts w:ascii="Times New Roman" w:eastAsia="Times New Roman" w:hAnsi="Times New Roman" w:cs="Times New Roman"/>
          <w:sz w:val="24"/>
          <w:szCs w:val="24"/>
          <w:lang w:eastAsia="tr-TR"/>
        </w:rPr>
        <w:t>geraniol</w:t>
      </w:r>
      <w:proofErr w:type="spellEnd"/>
      <w:r w:rsidRPr="009F7F21">
        <w:rPr>
          <w:rFonts w:ascii="Times New Roman" w:eastAsia="Times New Roman" w:hAnsi="Times New Roman" w:cs="Times New Roman"/>
          <w:sz w:val="24"/>
          <w:szCs w:val="24"/>
          <w:lang w:eastAsia="tr-TR"/>
        </w:rPr>
        <w:t xml:space="preserve"> için kapsamlı değerlendirmeler mevcuttur. </w:t>
      </w:r>
      <w:proofErr w:type="spellStart"/>
      <w:r w:rsidRPr="009F7F21">
        <w:rPr>
          <w:rFonts w:ascii="Times New Roman" w:eastAsia="Times New Roman" w:hAnsi="Times New Roman" w:cs="Times New Roman"/>
          <w:sz w:val="24"/>
          <w:szCs w:val="24"/>
          <w:lang w:eastAsia="tr-TR"/>
        </w:rPr>
        <w:t>Geraniol</w:t>
      </w:r>
      <w:proofErr w:type="spellEnd"/>
      <w:r w:rsidRPr="009F7F21">
        <w:rPr>
          <w:rFonts w:ascii="Times New Roman" w:eastAsia="Times New Roman" w:hAnsi="Times New Roman" w:cs="Times New Roman"/>
          <w:sz w:val="24"/>
          <w:szCs w:val="24"/>
          <w:lang w:eastAsia="tr-TR"/>
        </w:rPr>
        <w:t xml:space="preserve"> üzerinde gerçekleştirilen </w:t>
      </w:r>
      <w:proofErr w:type="spellStart"/>
      <w:r w:rsidRPr="009F7F21">
        <w:rPr>
          <w:rFonts w:ascii="Times New Roman" w:eastAsia="Times New Roman" w:hAnsi="Times New Roman" w:cs="Times New Roman"/>
          <w:sz w:val="24"/>
          <w:szCs w:val="24"/>
          <w:lang w:eastAsia="tr-TR"/>
        </w:rPr>
        <w:t>Ames</w:t>
      </w:r>
      <w:proofErr w:type="spellEnd"/>
      <w:r w:rsidRPr="009F7F21">
        <w:rPr>
          <w:rFonts w:ascii="Times New Roman" w:eastAsia="Times New Roman" w:hAnsi="Times New Roman" w:cs="Times New Roman"/>
          <w:sz w:val="24"/>
          <w:szCs w:val="24"/>
          <w:lang w:eastAsia="tr-TR"/>
        </w:rPr>
        <w:t xml:space="preserve"> testi ve diğer </w:t>
      </w:r>
      <w:r w:rsidRPr="009B18FC">
        <w:rPr>
          <w:rFonts w:ascii="Times New Roman" w:eastAsia="Times New Roman" w:hAnsi="Times New Roman" w:cs="Times New Roman"/>
          <w:i/>
          <w:iCs/>
          <w:sz w:val="24"/>
          <w:szCs w:val="24"/>
          <w:lang w:eastAsia="tr-TR"/>
        </w:rPr>
        <w:t xml:space="preserve">in </w:t>
      </w:r>
      <w:proofErr w:type="spellStart"/>
      <w:r w:rsidRPr="009B18FC">
        <w:rPr>
          <w:rFonts w:ascii="Times New Roman" w:eastAsia="Times New Roman" w:hAnsi="Times New Roman" w:cs="Times New Roman"/>
          <w:i/>
          <w:iCs/>
          <w:sz w:val="24"/>
          <w:szCs w:val="24"/>
          <w:lang w:eastAsia="tr-TR"/>
        </w:rPr>
        <w:t>vitro</w:t>
      </w:r>
      <w:proofErr w:type="spellEnd"/>
      <w:r w:rsidRPr="009F7F21">
        <w:rPr>
          <w:rFonts w:ascii="Times New Roman" w:eastAsia="Times New Roman" w:hAnsi="Times New Roman" w:cs="Times New Roman"/>
          <w:sz w:val="24"/>
          <w:szCs w:val="24"/>
          <w:lang w:eastAsia="tr-TR"/>
        </w:rPr>
        <w:t xml:space="preserve"> </w:t>
      </w:r>
      <w:proofErr w:type="spellStart"/>
      <w:r w:rsidRPr="009F7F21">
        <w:rPr>
          <w:rFonts w:ascii="Times New Roman" w:eastAsia="Times New Roman" w:hAnsi="Times New Roman" w:cs="Times New Roman"/>
          <w:sz w:val="24"/>
          <w:szCs w:val="24"/>
          <w:lang w:eastAsia="tr-TR"/>
        </w:rPr>
        <w:t>genotoksisite</w:t>
      </w:r>
      <w:proofErr w:type="spellEnd"/>
      <w:r w:rsidRPr="009F7F21">
        <w:rPr>
          <w:rFonts w:ascii="Times New Roman" w:eastAsia="Times New Roman" w:hAnsi="Times New Roman" w:cs="Times New Roman"/>
          <w:sz w:val="24"/>
          <w:szCs w:val="24"/>
          <w:lang w:eastAsia="tr-TR"/>
        </w:rPr>
        <w:t xml:space="preserve"> testlerinde </w:t>
      </w:r>
      <w:proofErr w:type="spellStart"/>
      <w:r w:rsidRPr="009F7F21">
        <w:rPr>
          <w:rFonts w:ascii="Times New Roman" w:eastAsia="Times New Roman" w:hAnsi="Times New Roman" w:cs="Times New Roman"/>
          <w:sz w:val="24"/>
          <w:szCs w:val="24"/>
          <w:lang w:eastAsia="tr-TR"/>
        </w:rPr>
        <w:t>mutajenik</w:t>
      </w:r>
      <w:proofErr w:type="spellEnd"/>
      <w:r w:rsidRPr="009F7F21">
        <w:rPr>
          <w:rFonts w:ascii="Times New Roman" w:eastAsia="Times New Roman" w:hAnsi="Times New Roman" w:cs="Times New Roman"/>
          <w:sz w:val="24"/>
          <w:szCs w:val="24"/>
          <w:lang w:eastAsia="tr-TR"/>
        </w:rPr>
        <w:t xml:space="preserve"> etki gözlenmemiştir. Mevcut </w:t>
      </w:r>
      <w:r w:rsidRPr="009B18FC">
        <w:rPr>
          <w:rFonts w:ascii="Times New Roman" w:eastAsia="Times New Roman" w:hAnsi="Times New Roman" w:cs="Times New Roman"/>
          <w:i/>
          <w:iCs/>
          <w:sz w:val="24"/>
          <w:szCs w:val="24"/>
          <w:lang w:eastAsia="tr-TR"/>
        </w:rPr>
        <w:t xml:space="preserve">in </w:t>
      </w:r>
      <w:proofErr w:type="spellStart"/>
      <w:r w:rsidRPr="009B18FC">
        <w:rPr>
          <w:rFonts w:ascii="Times New Roman" w:eastAsia="Times New Roman" w:hAnsi="Times New Roman" w:cs="Times New Roman"/>
          <w:i/>
          <w:iCs/>
          <w:sz w:val="24"/>
          <w:szCs w:val="24"/>
          <w:lang w:eastAsia="tr-TR"/>
        </w:rPr>
        <w:t>vivo</w:t>
      </w:r>
      <w:proofErr w:type="spellEnd"/>
      <w:r w:rsidRPr="009F7F21">
        <w:rPr>
          <w:rFonts w:ascii="Times New Roman" w:eastAsia="Times New Roman" w:hAnsi="Times New Roman" w:cs="Times New Roman"/>
          <w:sz w:val="24"/>
          <w:szCs w:val="24"/>
          <w:lang w:eastAsia="tr-TR"/>
        </w:rPr>
        <w:t xml:space="preserve"> veriler de </w:t>
      </w:r>
      <w:proofErr w:type="spellStart"/>
      <w:r w:rsidRPr="009F7F21">
        <w:rPr>
          <w:rFonts w:ascii="Times New Roman" w:eastAsia="Times New Roman" w:hAnsi="Times New Roman" w:cs="Times New Roman"/>
          <w:sz w:val="24"/>
          <w:szCs w:val="24"/>
          <w:lang w:eastAsia="tr-TR"/>
        </w:rPr>
        <w:t>genotoksik</w:t>
      </w:r>
      <w:proofErr w:type="spellEnd"/>
      <w:r w:rsidRPr="009F7F21">
        <w:rPr>
          <w:rFonts w:ascii="Times New Roman" w:eastAsia="Times New Roman" w:hAnsi="Times New Roman" w:cs="Times New Roman"/>
          <w:sz w:val="24"/>
          <w:szCs w:val="24"/>
          <w:lang w:eastAsia="tr-TR"/>
        </w:rPr>
        <w:t xml:space="preserve"> potansiyele işaret etmemektedir (OECD, 2006; </w:t>
      </w:r>
      <w:proofErr w:type="spellStart"/>
      <w:r w:rsidRPr="009F7F21">
        <w:rPr>
          <w:rFonts w:ascii="Times New Roman" w:eastAsia="Times New Roman" w:hAnsi="Times New Roman" w:cs="Times New Roman"/>
          <w:sz w:val="24"/>
          <w:szCs w:val="24"/>
          <w:lang w:eastAsia="tr-TR"/>
        </w:rPr>
        <w:t>Api</w:t>
      </w:r>
      <w:proofErr w:type="spellEnd"/>
      <w:r w:rsidRPr="009F7F21">
        <w:rPr>
          <w:rFonts w:ascii="Times New Roman" w:eastAsia="Times New Roman" w:hAnsi="Times New Roman" w:cs="Times New Roman"/>
          <w:sz w:val="24"/>
          <w:szCs w:val="24"/>
          <w:lang w:eastAsia="tr-TR"/>
        </w:rPr>
        <w:t xml:space="preserve"> ve ark., 2022).</w:t>
      </w:r>
    </w:p>
    <w:p w14:paraId="3AFC0F78" w14:textId="77777777" w:rsidR="009F7F21" w:rsidRPr="009F7F21" w:rsidRDefault="009F7F21" w:rsidP="009C516A">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sz w:val="24"/>
          <w:szCs w:val="24"/>
          <w:lang w:eastAsia="tr-TR"/>
        </w:rPr>
        <w:t xml:space="preserve">Bununla birlikte, insan lenfositlerinde gerçekleştirilen </w:t>
      </w:r>
      <w:proofErr w:type="spellStart"/>
      <w:r w:rsidRPr="009F7F21">
        <w:rPr>
          <w:rFonts w:ascii="Times New Roman" w:eastAsia="Times New Roman" w:hAnsi="Times New Roman" w:cs="Times New Roman"/>
          <w:sz w:val="24"/>
          <w:szCs w:val="24"/>
          <w:lang w:eastAsia="tr-TR"/>
        </w:rPr>
        <w:t>Comet</w:t>
      </w:r>
      <w:proofErr w:type="spellEnd"/>
      <w:r w:rsidRPr="009F7F21">
        <w:rPr>
          <w:rFonts w:ascii="Times New Roman" w:eastAsia="Times New Roman" w:hAnsi="Times New Roman" w:cs="Times New Roman"/>
          <w:sz w:val="24"/>
          <w:szCs w:val="24"/>
          <w:lang w:eastAsia="tr-TR"/>
        </w:rPr>
        <w:t xml:space="preserve"> testi sonuçlarına göre 1000 µg/</w:t>
      </w:r>
      <w:proofErr w:type="spellStart"/>
      <w:r w:rsidRPr="009F7F21">
        <w:rPr>
          <w:rFonts w:ascii="Times New Roman" w:eastAsia="Times New Roman" w:hAnsi="Times New Roman" w:cs="Times New Roman"/>
          <w:sz w:val="24"/>
          <w:szCs w:val="24"/>
          <w:lang w:eastAsia="tr-TR"/>
        </w:rPr>
        <w:t>mL</w:t>
      </w:r>
      <w:proofErr w:type="spellEnd"/>
      <w:r w:rsidRPr="009F7F21">
        <w:rPr>
          <w:rFonts w:ascii="Times New Roman" w:eastAsia="Times New Roman" w:hAnsi="Times New Roman" w:cs="Times New Roman"/>
          <w:sz w:val="24"/>
          <w:szCs w:val="24"/>
          <w:lang w:eastAsia="tr-TR"/>
        </w:rPr>
        <w:t xml:space="preserve"> ve üzerindeki konsantrasyonlarda DNA hasarı gözlenmiştir (</w:t>
      </w:r>
      <w:proofErr w:type="spellStart"/>
      <w:r w:rsidRPr="009F7F21">
        <w:rPr>
          <w:rFonts w:ascii="Times New Roman" w:eastAsia="Times New Roman" w:hAnsi="Times New Roman" w:cs="Times New Roman"/>
          <w:sz w:val="24"/>
          <w:szCs w:val="24"/>
          <w:lang w:eastAsia="tr-TR"/>
        </w:rPr>
        <w:t>Sinha</w:t>
      </w:r>
      <w:proofErr w:type="spellEnd"/>
      <w:r w:rsidRPr="009F7F21">
        <w:rPr>
          <w:rFonts w:ascii="Times New Roman" w:eastAsia="Times New Roman" w:hAnsi="Times New Roman" w:cs="Times New Roman"/>
          <w:sz w:val="24"/>
          <w:szCs w:val="24"/>
          <w:lang w:eastAsia="tr-TR"/>
        </w:rPr>
        <w:t xml:space="preserve"> ve ark., 2014). </w:t>
      </w:r>
      <w:r w:rsidRPr="009F7F21">
        <w:rPr>
          <w:rFonts w:ascii="Times New Roman" w:eastAsia="Times New Roman" w:hAnsi="Times New Roman" w:cs="Times New Roman"/>
          <w:sz w:val="24"/>
          <w:szCs w:val="24"/>
          <w:lang w:eastAsia="tr-TR"/>
        </w:rPr>
        <w:lastRenderedPageBreak/>
        <w:t xml:space="preserve">Bu bulgular yüksek dozlara özgü olup, genel değerlendirme </w:t>
      </w:r>
      <w:proofErr w:type="spellStart"/>
      <w:r w:rsidRPr="009F7F21">
        <w:rPr>
          <w:rFonts w:ascii="Times New Roman" w:eastAsia="Times New Roman" w:hAnsi="Times New Roman" w:cs="Times New Roman"/>
          <w:sz w:val="24"/>
          <w:szCs w:val="24"/>
          <w:lang w:eastAsia="tr-TR"/>
        </w:rPr>
        <w:t>geraniolün</w:t>
      </w:r>
      <w:proofErr w:type="spellEnd"/>
      <w:r w:rsidRPr="009F7F21">
        <w:rPr>
          <w:rFonts w:ascii="Times New Roman" w:eastAsia="Times New Roman" w:hAnsi="Times New Roman" w:cs="Times New Roman"/>
          <w:sz w:val="24"/>
          <w:szCs w:val="24"/>
          <w:lang w:eastAsia="tr-TR"/>
        </w:rPr>
        <w:t xml:space="preserve"> </w:t>
      </w:r>
      <w:proofErr w:type="spellStart"/>
      <w:r w:rsidRPr="009F7F21">
        <w:rPr>
          <w:rFonts w:ascii="Times New Roman" w:eastAsia="Times New Roman" w:hAnsi="Times New Roman" w:cs="Times New Roman"/>
          <w:sz w:val="24"/>
          <w:szCs w:val="24"/>
          <w:lang w:eastAsia="tr-TR"/>
        </w:rPr>
        <w:t>genotoksik</w:t>
      </w:r>
      <w:proofErr w:type="spellEnd"/>
      <w:r w:rsidRPr="009F7F21">
        <w:rPr>
          <w:rFonts w:ascii="Times New Roman" w:eastAsia="Times New Roman" w:hAnsi="Times New Roman" w:cs="Times New Roman"/>
          <w:sz w:val="24"/>
          <w:szCs w:val="24"/>
          <w:lang w:eastAsia="tr-TR"/>
        </w:rPr>
        <w:t xml:space="preserve"> olmadığı yönündedir.</w:t>
      </w:r>
    </w:p>
    <w:p w14:paraId="1E6728DE" w14:textId="77777777" w:rsidR="009F7F21" w:rsidRPr="00FC6DFA" w:rsidRDefault="009F7F21" w:rsidP="00FC6DFA">
      <w:pPr>
        <w:spacing w:before="120" w:after="120" w:line="276" w:lineRule="auto"/>
        <w:ind w:left="1241" w:hanging="442"/>
        <w:jc w:val="both"/>
        <w:rPr>
          <w:rFonts w:ascii="Times New Roman" w:eastAsia="Times New Roman" w:hAnsi="Times New Roman" w:cs="Times New Roman"/>
          <w:b/>
          <w:bCs/>
          <w:i/>
          <w:sz w:val="24"/>
          <w:szCs w:val="24"/>
          <w:lang w:eastAsia="tr-TR"/>
        </w:rPr>
      </w:pPr>
      <w:r w:rsidRPr="00FC6DFA">
        <w:rPr>
          <w:rFonts w:ascii="Times New Roman" w:eastAsia="Times New Roman" w:hAnsi="Times New Roman" w:cs="Times New Roman"/>
          <w:b/>
          <w:bCs/>
          <w:i/>
          <w:sz w:val="24"/>
          <w:szCs w:val="24"/>
          <w:lang w:eastAsia="tr-TR"/>
        </w:rPr>
        <w:t xml:space="preserve">8.4. </w:t>
      </w:r>
      <w:proofErr w:type="spellStart"/>
      <w:r w:rsidRPr="00FC6DFA">
        <w:rPr>
          <w:rFonts w:ascii="Times New Roman" w:eastAsia="Times New Roman" w:hAnsi="Times New Roman" w:cs="Times New Roman"/>
          <w:b/>
          <w:bCs/>
          <w:i/>
          <w:sz w:val="24"/>
          <w:szCs w:val="24"/>
          <w:lang w:eastAsia="tr-TR"/>
        </w:rPr>
        <w:t>Karsinojenisite</w:t>
      </w:r>
      <w:proofErr w:type="spellEnd"/>
    </w:p>
    <w:p w14:paraId="76977C86" w14:textId="2E8F25CD" w:rsidR="009F7F21" w:rsidRPr="009F7F21" w:rsidRDefault="009F7F21" w:rsidP="009C516A">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proofErr w:type="spellStart"/>
      <w:r w:rsidRPr="009F7F21">
        <w:rPr>
          <w:rFonts w:ascii="Times New Roman" w:eastAsia="Times New Roman" w:hAnsi="Times New Roman" w:cs="Times New Roman"/>
          <w:i/>
          <w:iCs/>
          <w:sz w:val="24"/>
          <w:szCs w:val="24"/>
          <w:lang w:eastAsia="tr-TR"/>
        </w:rPr>
        <w:t>Cymbopogon</w:t>
      </w:r>
      <w:proofErr w:type="spellEnd"/>
      <w:r w:rsidRPr="009F7F21">
        <w:rPr>
          <w:rFonts w:ascii="Times New Roman" w:eastAsia="Times New Roman" w:hAnsi="Times New Roman" w:cs="Times New Roman"/>
          <w:i/>
          <w:iCs/>
          <w:sz w:val="24"/>
          <w:szCs w:val="24"/>
          <w:lang w:eastAsia="tr-TR"/>
        </w:rPr>
        <w:t xml:space="preserve"> martini</w:t>
      </w:r>
      <w:r w:rsidRPr="009F7F21">
        <w:rPr>
          <w:rFonts w:ascii="Times New Roman" w:eastAsia="Times New Roman" w:hAnsi="Times New Roman" w:cs="Times New Roman"/>
          <w:sz w:val="24"/>
          <w:szCs w:val="24"/>
          <w:lang w:eastAsia="tr-TR"/>
        </w:rPr>
        <w:t xml:space="preserve"> uçucu yağı için doğrudan uzun dönem </w:t>
      </w:r>
      <w:proofErr w:type="spellStart"/>
      <w:r w:rsidRPr="009F7F21">
        <w:rPr>
          <w:rFonts w:ascii="Times New Roman" w:eastAsia="Times New Roman" w:hAnsi="Times New Roman" w:cs="Times New Roman"/>
          <w:sz w:val="24"/>
          <w:szCs w:val="24"/>
          <w:lang w:eastAsia="tr-TR"/>
        </w:rPr>
        <w:t>karsinojenisite</w:t>
      </w:r>
      <w:proofErr w:type="spellEnd"/>
      <w:r w:rsidRPr="009F7F21">
        <w:rPr>
          <w:rFonts w:ascii="Times New Roman" w:eastAsia="Times New Roman" w:hAnsi="Times New Roman" w:cs="Times New Roman"/>
          <w:sz w:val="24"/>
          <w:szCs w:val="24"/>
          <w:lang w:eastAsia="tr-TR"/>
        </w:rPr>
        <w:t xml:space="preserve"> çalışmaları bulunmamaktadır. Ancak ana bileşeni olan </w:t>
      </w:r>
      <w:proofErr w:type="spellStart"/>
      <w:r w:rsidRPr="009F7F21">
        <w:rPr>
          <w:rFonts w:ascii="Times New Roman" w:eastAsia="Times New Roman" w:hAnsi="Times New Roman" w:cs="Times New Roman"/>
          <w:sz w:val="24"/>
          <w:szCs w:val="24"/>
          <w:lang w:eastAsia="tr-TR"/>
        </w:rPr>
        <w:t>geraniol</w:t>
      </w:r>
      <w:proofErr w:type="spellEnd"/>
      <w:r w:rsidRPr="009F7F21">
        <w:rPr>
          <w:rFonts w:ascii="Times New Roman" w:eastAsia="Times New Roman" w:hAnsi="Times New Roman" w:cs="Times New Roman"/>
          <w:sz w:val="24"/>
          <w:szCs w:val="24"/>
          <w:lang w:eastAsia="tr-TR"/>
        </w:rPr>
        <w:t xml:space="preserve"> üzerine yapılan çok sayıda </w:t>
      </w:r>
      <w:r w:rsidRPr="009B18FC">
        <w:rPr>
          <w:rFonts w:ascii="Times New Roman" w:eastAsia="Times New Roman" w:hAnsi="Times New Roman" w:cs="Times New Roman"/>
          <w:i/>
          <w:iCs/>
          <w:sz w:val="24"/>
          <w:szCs w:val="24"/>
          <w:lang w:eastAsia="tr-TR"/>
        </w:rPr>
        <w:t xml:space="preserve">in </w:t>
      </w:r>
      <w:proofErr w:type="spellStart"/>
      <w:r w:rsidRPr="009B18FC">
        <w:rPr>
          <w:rFonts w:ascii="Times New Roman" w:eastAsia="Times New Roman" w:hAnsi="Times New Roman" w:cs="Times New Roman"/>
          <w:i/>
          <w:iCs/>
          <w:sz w:val="24"/>
          <w:szCs w:val="24"/>
          <w:lang w:eastAsia="tr-TR"/>
        </w:rPr>
        <w:t>vitro</w:t>
      </w:r>
      <w:proofErr w:type="spellEnd"/>
      <w:r w:rsidRPr="009B18FC">
        <w:rPr>
          <w:rFonts w:ascii="Times New Roman" w:eastAsia="Times New Roman" w:hAnsi="Times New Roman" w:cs="Times New Roman"/>
          <w:i/>
          <w:iCs/>
          <w:sz w:val="24"/>
          <w:szCs w:val="24"/>
          <w:lang w:eastAsia="tr-TR"/>
        </w:rPr>
        <w:t xml:space="preserve"> </w:t>
      </w:r>
      <w:r w:rsidRPr="009B18FC">
        <w:rPr>
          <w:rFonts w:ascii="Times New Roman" w:eastAsia="Times New Roman" w:hAnsi="Times New Roman" w:cs="Times New Roman"/>
          <w:sz w:val="24"/>
          <w:szCs w:val="24"/>
          <w:lang w:eastAsia="tr-TR"/>
        </w:rPr>
        <w:t>ve</w:t>
      </w:r>
      <w:r w:rsidRPr="009B18FC">
        <w:rPr>
          <w:rFonts w:ascii="Times New Roman" w:eastAsia="Times New Roman" w:hAnsi="Times New Roman" w:cs="Times New Roman"/>
          <w:i/>
          <w:iCs/>
          <w:sz w:val="24"/>
          <w:szCs w:val="24"/>
          <w:lang w:eastAsia="tr-TR"/>
        </w:rPr>
        <w:t xml:space="preserve"> in </w:t>
      </w:r>
      <w:proofErr w:type="spellStart"/>
      <w:r w:rsidRPr="009B18FC">
        <w:rPr>
          <w:rFonts w:ascii="Times New Roman" w:eastAsia="Times New Roman" w:hAnsi="Times New Roman" w:cs="Times New Roman"/>
          <w:i/>
          <w:iCs/>
          <w:sz w:val="24"/>
          <w:szCs w:val="24"/>
          <w:lang w:eastAsia="tr-TR"/>
        </w:rPr>
        <w:t>vivo</w:t>
      </w:r>
      <w:proofErr w:type="spellEnd"/>
      <w:r w:rsidRPr="009F7F21">
        <w:rPr>
          <w:rFonts w:ascii="Times New Roman" w:eastAsia="Times New Roman" w:hAnsi="Times New Roman" w:cs="Times New Roman"/>
          <w:sz w:val="24"/>
          <w:szCs w:val="24"/>
          <w:lang w:eastAsia="tr-TR"/>
        </w:rPr>
        <w:t xml:space="preserve"> çalışma mevcuttur.</w:t>
      </w:r>
    </w:p>
    <w:p w14:paraId="2C912382" w14:textId="511314EA" w:rsidR="009F7F21" w:rsidRPr="009F7F21" w:rsidRDefault="009F7F21" w:rsidP="009C516A">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sz w:val="24"/>
          <w:szCs w:val="24"/>
          <w:lang w:eastAsia="tr-TR"/>
        </w:rPr>
        <w:t xml:space="preserve">Bu çalışmaların genel bulguları, </w:t>
      </w:r>
      <w:proofErr w:type="spellStart"/>
      <w:r w:rsidRPr="009F7F21">
        <w:rPr>
          <w:rFonts w:ascii="Times New Roman" w:eastAsia="Times New Roman" w:hAnsi="Times New Roman" w:cs="Times New Roman"/>
          <w:sz w:val="24"/>
          <w:szCs w:val="24"/>
          <w:lang w:eastAsia="tr-TR"/>
        </w:rPr>
        <w:t>geraniolün</w:t>
      </w:r>
      <w:proofErr w:type="spellEnd"/>
      <w:r w:rsidRPr="009F7F21">
        <w:rPr>
          <w:rFonts w:ascii="Times New Roman" w:eastAsia="Times New Roman" w:hAnsi="Times New Roman" w:cs="Times New Roman"/>
          <w:sz w:val="24"/>
          <w:szCs w:val="24"/>
          <w:lang w:eastAsia="tr-TR"/>
        </w:rPr>
        <w:t xml:space="preserve"> </w:t>
      </w:r>
      <w:proofErr w:type="spellStart"/>
      <w:r w:rsidRPr="009F7F21">
        <w:rPr>
          <w:rFonts w:ascii="Times New Roman" w:eastAsia="Times New Roman" w:hAnsi="Times New Roman" w:cs="Times New Roman"/>
          <w:sz w:val="24"/>
          <w:szCs w:val="24"/>
          <w:lang w:eastAsia="tr-TR"/>
        </w:rPr>
        <w:t>karsinojenik</w:t>
      </w:r>
      <w:proofErr w:type="spellEnd"/>
      <w:r w:rsidRPr="009F7F21">
        <w:rPr>
          <w:rFonts w:ascii="Times New Roman" w:eastAsia="Times New Roman" w:hAnsi="Times New Roman" w:cs="Times New Roman"/>
          <w:sz w:val="24"/>
          <w:szCs w:val="24"/>
          <w:lang w:eastAsia="tr-TR"/>
        </w:rPr>
        <w:t xml:space="preserve"> olmadığını, aksine </w:t>
      </w:r>
      <w:proofErr w:type="spellStart"/>
      <w:r w:rsidR="00A945BE" w:rsidRPr="009F7F21">
        <w:rPr>
          <w:rFonts w:ascii="Times New Roman" w:eastAsia="Times New Roman" w:hAnsi="Times New Roman" w:cs="Times New Roman"/>
          <w:sz w:val="24"/>
          <w:szCs w:val="24"/>
          <w:lang w:eastAsia="tr-TR"/>
        </w:rPr>
        <w:t>kemopr</w:t>
      </w:r>
      <w:r w:rsidR="00A945BE">
        <w:rPr>
          <w:rFonts w:ascii="Times New Roman" w:eastAsia="Times New Roman" w:hAnsi="Times New Roman" w:cs="Times New Roman"/>
          <w:sz w:val="24"/>
          <w:szCs w:val="24"/>
          <w:lang w:eastAsia="tr-TR"/>
        </w:rPr>
        <w:t>otektif</w:t>
      </w:r>
      <w:proofErr w:type="spellEnd"/>
      <w:r w:rsidRPr="009F7F21">
        <w:rPr>
          <w:rFonts w:ascii="Times New Roman" w:eastAsia="Times New Roman" w:hAnsi="Times New Roman" w:cs="Times New Roman"/>
          <w:sz w:val="24"/>
          <w:szCs w:val="24"/>
          <w:lang w:eastAsia="tr-TR"/>
        </w:rPr>
        <w:t xml:space="preserve"> ve </w:t>
      </w:r>
      <w:proofErr w:type="spellStart"/>
      <w:r w:rsidRPr="009F7F21">
        <w:rPr>
          <w:rFonts w:ascii="Times New Roman" w:eastAsia="Times New Roman" w:hAnsi="Times New Roman" w:cs="Times New Roman"/>
          <w:sz w:val="24"/>
          <w:szCs w:val="24"/>
          <w:lang w:eastAsia="tr-TR"/>
        </w:rPr>
        <w:t>antitümör</w:t>
      </w:r>
      <w:proofErr w:type="spellEnd"/>
      <w:r w:rsidRPr="009F7F21">
        <w:rPr>
          <w:rFonts w:ascii="Times New Roman" w:eastAsia="Times New Roman" w:hAnsi="Times New Roman" w:cs="Times New Roman"/>
          <w:sz w:val="24"/>
          <w:szCs w:val="24"/>
          <w:lang w:eastAsia="tr-TR"/>
        </w:rPr>
        <w:t xml:space="preserve"> etkiler gösterebildiğini ortaya koymaktadır. Deneysel hayvan modellerinde, </w:t>
      </w:r>
      <w:proofErr w:type="spellStart"/>
      <w:r w:rsidRPr="009F7F21">
        <w:rPr>
          <w:rFonts w:ascii="Times New Roman" w:eastAsia="Times New Roman" w:hAnsi="Times New Roman" w:cs="Times New Roman"/>
          <w:sz w:val="24"/>
          <w:szCs w:val="24"/>
          <w:lang w:eastAsia="tr-TR"/>
        </w:rPr>
        <w:t>geraniolün</w:t>
      </w:r>
      <w:proofErr w:type="spellEnd"/>
      <w:r w:rsidRPr="009F7F21">
        <w:rPr>
          <w:rFonts w:ascii="Times New Roman" w:eastAsia="Times New Roman" w:hAnsi="Times New Roman" w:cs="Times New Roman"/>
          <w:sz w:val="24"/>
          <w:szCs w:val="24"/>
          <w:lang w:eastAsia="tr-TR"/>
        </w:rPr>
        <w:t xml:space="preserve"> kimyasal olarak indüklenen </w:t>
      </w:r>
      <w:proofErr w:type="spellStart"/>
      <w:r w:rsidRPr="009F7F21">
        <w:rPr>
          <w:rFonts w:ascii="Times New Roman" w:eastAsia="Times New Roman" w:hAnsi="Times New Roman" w:cs="Times New Roman"/>
          <w:sz w:val="24"/>
          <w:szCs w:val="24"/>
          <w:lang w:eastAsia="tr-TR"/>
        </w:rPr>
        <w:t>karsinogenez</w:t>
      </w:r>
      <w:proofErr w:type="spellEnd"/>
      <w:r w:rsidRPr="009F7F21">
        <w:rPr>
          <w:rFonts w:ascii="Times New Roman" w:eastAsia="Times New Roman" w:hAnsi="Times New Roman" w:cs="Times New Roman"/>
          <w:sz w:val="24"/>
          <w:szCs w:val="24"/>
          <w:lang w:eastAsia="tr-TR"/>
        </w:rPr>
        <w:t xml:space="preserve"> süreçlerini </w:t>
      </w:r>
      <w:proofErr w:type="spellStart"/>
      <w:r w:rsidRPr="009F7F21">
        <w:rPr>
          <w:rFonts w:ascii="Times New Roman" w:eastAsia="Times New Roman" w:hAnsi="Times New Roman" w:cs="Times New Roman"/>
          <w:sz w:val="24"/>
          <w:szCs w:val="24"/>
          <w:lang w:eastAsia="tr-TR"/>
        </w:rPr>
        <w:t>inhibe</w:t>
      </w:r>
      <w:proofErr w:type="spellEnd"/>
      <w:r w:rsidRPr="009F7F21">
        <w:rPr>
          <w:rFonts w:ascii="Times New Roman" w:eastAsia="Times New Roman" w:hAnsi="Times New Roman" w:cs="Times New Roman"/>
          <w:sz w:val="24"/>
          <w:szCs w:val="24"/>
          <w:lang w:eastAsia="tr-TR"/>
        </w:rPr>
        <w:t xml:space="preserve"> ettiği gösterilmiştir. Örneğin, DMBA ile indüklenen oral </w:t>
      </w:r>
      <w:proofErr w:type="spellStart"/>
      <w:r w:rsidRPr="009F7F21">
        <w:rPr>
          <w:rFonts w:ascii="Times New Roman" w:eastAsia="Times New Roman" w:hAnsi="Times New Roman" w:cs="Times New Roman"/>
          <w:sz w:val="24"/>
          <w:szCs w:val="24"/>
          <w:lang w:eastAsia="tr-TR"/>
        </w:rPr>
        <w:t>karsinogenez</w:t>
      </w:r>
      <w:proofErr w:type="spellEnd"/>
      <w:r w:rsidRPr="009F7F21">
        <w:rPr>
          <w:rFonts w:ascii="Times New Roman" w:eastAsia="Times New Roman" w:hAnsi="Times New Roman" w:cs="Times New Roman"/>
          <w:sz w:val="24"/>
          <w:szCs w:val="24"/>
          <w:lang w:eastAsia="tr-TR"/>
        </w:rPr>
        <w:t xml:space="preserve"> modelinde tümör oluşumunu baskıladığı ve antioksidan sistemleri iyileştirdiği bildirilmiştir (</w:t>
      </w:r>
      <w:proofErr w:type="spellStart"/>
      <w:r w:rsidRPr="009F7F21">
        <w:rPr>
          <w:rFonts w:ascii="Times New Roman" w:eastAsia="Times New Roman" w:hAnsi="Times New Roman" w:cs="Times New Roman"/>
          <w:sz w:val="24"/>
          <w:szCs w:val="24"/>
          <w:lang w:eastAsia="tr-TR"/>
        </w:rPr>
        <w:t>Vinothkumar</w:t>
      </w:r>
      <w:proofErr w:type="spellEnd"/>
      <w:r w:rsidRPr="009F7F21">
        <w:rPr>
          <w:rFonts w:ascii="Times New Roman" w:eastAsia="Times New Roman" w:hAnsi="Times New Roman" w:cs="Times New Roman"/>
          <w:sz w:val="24"/>
          <w:szCs w:val="24"/>
          <w:lang w:eastAsia="tr-TR"/>
        </w:rPr>
        <w:t xml:space="preserve"> ve </w:t>
      </w:r>
      <w:proofErr w:type="spellStart"/>
      <w:r w:rsidRPr="009F7F21">
        <w:rPr>
          <w:rFonts w:ascii="Times New Roman" w:eastAsia="Times New Roman" w:hAnsi="Times New Roman" w:cs="Times New Roman"/>
          <w:sz w:val="24"/>
          <w:szCs w:val="24"/>
          <w:lang w:eastAsia="tr-TR"/>
        </w:rPr>
        <w:t>Manoharan</w:t>
      </w:r>
      <w:proofErr w:type="spellEnd"/>
      <w:r w:rsidRPr="009F7F21">
        <w:rPr>
          <w:rFonts w:ascii="Times New Roman" w:eastAsia="Times New Roman" w:hAnsi="Times New Roman" w:cs="Times New Roman"/>
          <w:sz w:val="24"/>
          <w:szCs w:val="24"/>
          <w:lang w:eastAsia="tr-TR"/>
        </w:rPr>
        <w:t xml:space="preserve">, 2011). Benzer şekilde, </w:t>
      </w:r>
      <w:proofErr w:type="spellStart"/>
      <w:r w:rsidR="00A945BE" w:rsidRPr="009F7F21">
        <w:rPr>
          <w:rFonts w:ascii="Times New Roman" w:eastAsia="Times New Roman" w:hAnsi="Times New Roman" w:cs="Times New Roman"/>
          <w:sz w:val="24"/>
          <w:szCs w:val="24"/>
          <w:lang w:eastAsia="tr-TR"/>
        </w:rPr>
        <w:t>diet</w:t>
      </w:r>
      <w:r w:rsidR="00A945BE">
        <w:rPr>
          <w:rFonts w:ascii="Times New Roman" w:eastAsia="Times New Roman" w:hAnsi="Times New Roman" w:cs="Times New Roman"/>
          <w:sz w:val="24"/>
          <w:szCs w:val="24"/>
          <w:lang w:eastAsia="tr-TR"/>
        </w:rPr>
        <w:t>ilnitrözamin</w:t>
      </w:r>
      <w:proofErr w:type="spellEnd"/>
      <w:r w:rsidRPr="009F7F21">
        <w:rPr>
          <w:rFonts w:ascii="Times New Roman" w:eastAsia="Times New Roman" w:hAnsi="Times New Roman" w:cs="Times New Roman"/>
          <w:sz w:val="24"/>
          <w:szCs w:val="24"/>
          <w:lang w:eastAsia="tr-TR"/>
        </w:rPr>
        <w:t xml:space="preserve"> (DEN) ile indüklenen </w:t>
      </w:r>
      <w:proofErr w:type="spellStart"/>
      <w:r w:rsidR="00A945BE" w:rsidRPr="009F7F21">
        <w:rPr>
          <w:rFonts w:ascii="Times New Roman" w:eastAsia="Times New Roman" w:hAnsi="Times New Roman" w:cs="Times New Roman"/>
          <w:sz w:val="24"/>
          <w:szCs w:val="24"/>
          <w:lang w:eastAsia="tr-TR"/>
        </w:rPr>
        <w:t>hepatokarsino</w:t>
      </w:r>
      <w:r w:rsidR="00A945BE">
        <w:rPr>
          <w:rFonts w:ascii="Times New Roman" w:eastAsia="Times New Roman" w:hAnsi="Times New Roman" w:cs="Times New Roman"/>
          <w:sz w:val="24"/>
          <w:szCs w:val="24"/>
          <w:lang w:eastAsia="tr-TR"/>
        </w:rPr>
        <w:t>j</w:t>
      </w:r>
      <w:r w:rsidR="00A945BE" w:rsidRPr="009F7F21">
        <w:rPr>
          <w:rFonts w:ascii="Times New Roman" w:eastAsia="Times New Roman" w:hAnsi="Times New Roman" w:cs="Times New Roman"/>
          <w:sz w:val="24"/>
          <w:szCs w:val="24"/>
          <w:lang w:eastAsia="tr-TR"/>
        </w:rPr>
        <w:t>enez</w:t>
      </w:r>
      <w:proofErr w:type="spellEnd"/>
      <w:r w:rsidRPr="009F7F21">
        <w:rPr>
          <w:rFonts w:ascii="Times New Roman" w:eastAsia="Times New Roman" w:hAnsi="Times New Roman" w:cs="Times New Roman"/>
          <w:sz w:val="24"/>
          <w:szCs w:val="24"/>
          <w:lang w:eastAsia="tr-TR"/>
        </w:rPr>
        <w:t xml:space="preserve"> modelinde tümör gelişimini önleyici etkileri rapor edilmiştir (</w:t>
      </w:r>
      <w:proofErr w:type="spellStart"/>
      <w:r w:rsidRPr="009F7F21">
        <w:rPr>
          <w:rFonts w:ascii="Times New Roman" w:eastAsia="Times New Roman" w:hAnsi="Times New Roman" w:cs="Times New Roman"/>
          <w:sz w:val="24"/>
          <w:szCs w:val="24"/>
          <w:lang w:eastAsia="tr-TR"/>
        </w:rPr>
        <w:t>Sawada</w:t>
      </w:r>
      <w:proofErr w:type="spellEnd"/>
      <w:r w:rsidRPr="009F7F21">
        <w:rPr>
          <w:rFonts w:ascii="Times New Roman" w:eastAsia="Times New Roman" w:hAnsi="Times New Roman" w:cs="Times New Roman"/>
          <w:sz w:val="24"/>
          <w:szCs w:val="24"/>
          <w:lang w:eastAsia="tr-TR"/>
        </w:rPr>
        <w:t xml:space="preserve"> ve ark., 2016).</w:t>
      </w:r>
    </w:p>
    <w:p w14:paraId="570BEB65" w14:textId="77777777" w:rsidR="009F7F21" w:rsidRPr="009F7F21" w:rsidRDefault="009F7F21" w:rsidP="009C516A">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sz w:val="24"/>
          <w:szCs w:val="24"/>
          <w:lang w:eastAsia="tr-TR"/>
        </w:rPr>
        <w:t xml:space="preserve">Hücresel düzeyde yapılan çalışmalarda </w:t>
      </w:r>
      <w:proofErr w:type="spellStart"/>
      <w:r w:rsidRPr="009F7F21">
        <w:rPr>
          <w:rFonts w:ascii="Times New Roman" w:eastAsia="Times New Roman" w:hAnsi="Times New Roman" w:cs="Times New Roman"/>
          <w:sz w:val="24"/>
          <w:szCs w:val="24"/>
          <w:lang w:eastAsia="tr-TR"/>
        </w:rPr>
        <w:t>geraniolün</w:t>
      </w:r>
      <w:proofErr w:type="spellEnd"/>
      <w:r w:rsidRPr="009F7F21">
        <w:rPr>
          <w:rFonts w:ascii="Times New Roman" w:eastAsia="Times New Roman" w:hAnsi="Times New Roman" w:cs="Times New Roman"/>
          <w:sz w:val="24"/>
          <w:szCs w:val="24"/>
          <w:lang w:eastAsia="tr-TR"/>
        </w:rPr>
        <w:t xml:space="preserve"> hücre </w:t>
      </w:r>
      <w:proofErr w:type="spellStart"/>
      <w:r w:rsidRPr="009F7F21">
        <w:rPr>
          <w:rFonts w:ascii="Times New Roman" w:eastAsia="Times New Roman" w:hAnsi="Times New Roman" w:cs="Times New Roman"/>
          <w:sz w:val="24"/>
          <w:szCs w:val="24"/>
          <w:lang w:eastAsia="tr-TR"/>
        </w:rPr>
        <w:t>proliferasyonunu</w:t>
      </w:r>
      <w:proofErr w:type="spellEnd"/>
      <w:r w:rsidRPr="009F7F21">
        <w:rPr>
          <w:rFonts w:ascii="Times New Roman" w:eastAsia="Times New Roman" w:hAnsi="Times New Roman" w:cs="Times New Roman"/>
          <w:sz w:val="24"/>
          <w:szCs w:val="24"/>
          <w:lang w:eastAsia="tr-TR"/>
        </w:rPr>
        <w:t xml:space="preserve"> </w:t>
      </w:r>
      <w:proofErr w:type="spellStart"/>
      <w:r w:rsidRPr="009F7F21">
        <w:rPr>
          <w:rFonts w:ascii="Times New Roman" w:eastAsia="Times New Roman" w:hAnsi="Times New Roman" w:cs="Times New Roman"/>
          <w:sz w:val="24"/>
          <w:szCs w:val="24"/>
          <w:lang w:eastAsia="tr-TR"/>
        </w:rPr>
        <w:t>inhibe</w:t>
      </w:r>
      <w:proofErr w:type="spellEnd"/>
      <w:r w:rsidRPr="009F7F21">
        <w:rPr>
          <w:rFonts w:ascii="Times New Roman" w:eastAsia="Times New Roman" w:hAnsi="Times New Roman" w:cs="Times New Roman"/>
          <w:sz w:val="24"/>
          <w:szCs w:val="24"/>
          <w:lang w:eastAsia="tr-TR"/>
        </w:rPr>
        <w:t xml:space="preserve"> ettiği, </w:t>
      </w:r>
      <w:proofErr w:type="spellStart"/>
      <w:r w:rsidRPr="009F7F21">
        <w:rPr>
          <w:rFonts w:ascii="Times New Roman" w:eastAsia="Times New Roman" w:hAnsi="Times New Roman" w:cs="Times New Roman"/>
          <w:sz w:val="24"/>
          <w:szCs w:val="24"/>
          <w:lang w:eastAsia="tr-TR"/>
        </w:rPr>
        <w:t>apoptozu</w:t>
      </w:r>
      <w:proofErr w:type="spellEnd"/>
      <w:r w:rsidRPr="009F7F21">
        <w:rPr>
          <w:rFonts w:ascii="Times New Roman" w:eastAsia="Times New Roman" w:hAnsi="Times New Roman" w:cs="Times New Roman"/>
          <w:sz w:val="24"/>
          <w:szCs w:val="24"/>
          <w:lang w:eastAsia="tr-TR"/>
        </w:rPr>
        <w:t xml:space="preserve"> indüklediği ve </w:t>
      </w:r>
      <w:proofErr w:type="spellStart"/>
      <w:r w:rsidRPr="009F7F21">
        <w:rPr>
          <w:rFonts w:ascii="Times New Roman" w:eastAsia="Times New Roman" w:hAnsi="Times New Roman" w:cs="Times New Roman"/>
          <w:sz w:val="24"/>
          <w:szCs w:val="24"/>
          <w:lang w:eastAsia="tr-TR"/>
        </w:rPr>
        <w:t>anjiyogenezi</w:t>
      </w:r>
      <w:proofErr w:type="spellEnd"/>
      <w:r w:rsidRPr="009F7F21">
        <w:rPr>
          <w:rFonts w:ascii="Times New Roman" w:eastAsia="Times New Roman" w:hAnsi="Times New Roman" w:cs="Times New Roman"/>
          <w:sz w:val="24"/>
          <w:szCs w:val="24"/>
          <w:lang w:eastAsia="tr-TR"/>
        </w:rPr>
        <w:t xml:space="preserve"> baskıladığı gösterilmiştir (</w:t>
      </w:r>
      <w:proofErr w:type="spellStart"/>
      <w:r w:rsidRPr="009F7F21">
        <w:rPr>
          <w:rFonts w:ascii="Times New Roman" w:eastAsia="Times New Roman" w:hAnsi="Times New Roman" w:cs="Times New Roman"/>
          <w:sz w:val="24"/>
          <w:szCs w:val="24"/>
          <w:lang w:eastAsia="tr-TR"/>
        </w:rPr>
        <w:t>Cho</w:t>
      </w:r>
      <w:proofErr w:type="spellEnd"/>
      <w:r w:rsidRPr="009F7F21">
        <w:rPr>
          <w:rFonts w:ascii="Times New Roman" w:eastAsia="Times New Roman" w:hAnsi="Times New Roman" w:cs="Times New Roman"/>
          <w:sz w:val="24"/>
          <w:szCs w:val="24"/>
          <w:lang w:eastAsia="tr-TR"/>
        </w:rPr>
        <w:t xml:space="preserve"> ve ark., 2016). Güncel derleme çalışmaları da </w:t>
      </w:r>
      <w:proofErr w:type="spellStart"/>
      <w:r w:rsidRPr="009F7F21">
        <w:rPr>
          <w:rFonts w:ascii="Times New Roman" w:eastAsia="Times New Roman" w:hAnsi="Times New Roman" w:cs="Times New Roman"/>
          <w:sz w:val="24"/>
          <w:szCs w:val="24"/>
          <w:lang w:eastAsia="tr-TR"/>
        </w:rPr>
        <w:t>geraniolün</w:t>
      </w:r>
      <w:proofErr w:type="spellEnd"/>
      <w:r w:rsidRPr="009F7F21">
        <w:rPr>
          <w:rFonts w:ascii="Times New Roman" w:eastAsia="Times New Roman" w:hAnsi="Times New Roman" w:cs="Times New Roman"/>
          <w:sz w:val="24"/>
          <w:szCs w:val="24"/>
          <w:lang w:eastAsia="tr-TR"/>
        </w:rPr>
        <w:t xml:space="preserve"> çeşitli kanser türlerinde </w:t>
      </w:r>
      <w:proofErr w:type="spellStart"/>
      <w:r w:rsidRPr="009F7F21">
        <w:rPr>
          <w:rFonts w:ascii="Times New Roman" w:eastAsia="Times New Roman" w:hAnsi="Times New Roman" w:cs="Times New Roman"/>
          <w:sz w:val="24"/>
          <w:szCs w:val="24"/>
          <w:lang w:eastAsia="tr-TR"/>
        </w:rPr>
        <w:t>antitümör</w:t>
      </w:r>
      <w:proofErr w:type="spellEnd"/>
      <w:r w:rsidRPr="009F7F21">
        <w:rPr>
          <w:rFonts w:ascii="Times New Roman" w:eastAsia="Times New Roman" w:hAnsi="Times New Roman" w:cs="Times New Roman"/>
          <w:sz w:val="24"/>
          <w:szCs w:val="24"/>
          <w:lang w:eastAsia="tr-TR"/>
        </w:rPr>
        <w:t xml:space="preserve"> aktiviteye sahip olduğunu desteklemektedir (Ben </w:t>
      </w:r>
      <w:proofErr w:type="spellStart"/>
      <w:r w:rsidRPr="009F7F21">
        <w:rPr>
          <w:rFonts w:ascii="Times New Roman" w:eastAsia="Times New Roman" w:hAnsi="Times New Roman" w:cs="Times New Roman"/>
          <w:sz w:val="24"/>
          <w:szCs w:val="24"/>
          <w:lang w:eastAsia="tr-TR"/>
        </w:rPr>
        <w:t>Ammar</w:t>
      </w:r>
      <w:proofErr w:type="spellEnd"/>
      <w:r w:rsidRPr="009F7F21">
        <w:rPr>
          <w:rFonts w:ascii="Times New Roman" w:eastAsia="Times New Roman" w:hAnsi="Times New Roman" w:cs="Times New Roman"/>
          <w:sz w:val="24"/>
          <w:szCs w:val="24"/>
          <w:lang w:eastAsia="tr-TR"/>
        </w:rPr>
        <w:t>, 2023).</w:t>
      </w:r>
    </w:p>
    <w:p w14:paraId="7F52723B" w14:textId="16B77A8F" w:rsidR="009F7F21" w:rsidRPr="009F7F21" w:rsidRDefault="009F7F21" w:rsidP="009C516A">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sz w:val="24"/>
          <w:szCs w:val="24"/>
          <w:lang w:eastAsia="tr-TR"/>
        </w:rPr>
        <w:t xml:space="preserve">Mevcut deneysel ve </w:t>
      </w:r>
      <w:proofErr w:type="spellStart"/>
      <w:r w:rsidRPr="009F7F21">
        <w:rPr>
          <w:rFonts w:ascii="Times New Roman" w:eastAsia="Times New Roman" w:hAnsi="Times New Roman" w:cs="Times New Roman"/>
          <w:sz w:val="24"/>
          <w:szCs w:val="24"/>
          <w:lang w:eastAsia="tr-TR"/>
        </w:rPr>
        <w:t>mekanistik</w:t>
      </w:r>
      <w:proofErr w:type="spellEnd"/>
      <w:r w:rsidRPr="009F7F21">
        <w:rPr>
          <w:rFonts w:ascii="Times New Roman" w:eastAsia="Times New Roman" w:hAnsi="Times New Roman" w:cs="Times New Roman"/>
          <w:sz w:val="24"/>
          <w:szCs w:val="24"/>
          <w:lang w:eastAsia="tr-TR"/>
        </w:rPr>
        <w:t xml:space="preserve"> veriler </w:t>
      </w:r>
      <w:proofErr w:type="spellStart"/>
      <w:r w:rsidRPr="009F7F21">
        <w:rPr>
          <w:rFonts w:ascii="Times New Roman" w:eastAsia="Times New Roman" w:hAnsi="Times New Roman" w:cs="Times New Roman"/>
          <w:sz w:val="24"/>
          <w:szCs w:val="24"/>
          <w:lang w:eastAsia="tr-TR"/>
        </w:rPr>
        <w:t>geraniol</w:t>
      </w:r>
      <w:proofErr w:type="spellEnd"/>
      <w:r w:rsidRPr="009F7F21">
        <w:rPr>
          <w:rFonts w:ascii="Times New Roman" w:eastAsia="Times New Roman" w:hAnsi="Times New Roman" w:cs="Times New Roman"/>
          <w:sz w:val="24"/>
          <w:szCs w:val="24"/>
          <w:lang w:eastAsia="tr-TR"/>
        </w:rPr>
        <w:t xml:space="preserve"> için </w:t>
      </w:r>
      <w:proofErr w:type="spellStart"/>
      <w:r w:rsidRPr="009F7F21">
        <w:rPr>
          <w:rFonts w:ascii="Times New Roman" w:eastAsia="Times New Roman" w:hAnsi="Times New Roman" w:cs="Times New Roman"/>
          <w:sz w:val="24"/>
          <w:szCs w:val="24"/>
          <w:lang w:eastAsia="tr-TR"/>
        </w:rPr>
        <w:t>karsinojenik</w:t>
      </w:r>
      <w:proofErr w:type="spellEnd"/>
      <w:r w:rsidRPr="009F7F21">
        <w:rPr>
          <w:rFonts w:ascii="Times New Roman" w:eastAsia="Times New Roman" w:hAnsi="Times New Roman" w:cs="Times New Roman"/>
          <w:sz w:val="24"/>
          <w:szCs w:val="24"/>
          <w:lang w:eastAsia="tr-TR"/>
        </w:rPr>
        <w:t xml:space="preserve"> bir potansiyeli desteklememektedir. Ancak </w:t>
      </w:r>
      <w:proofErr w:type="spellStart"/>
      <w:r w:rsidRPr="009F7F21">
        <w:rPr>
          <w:rFonts w:ascii="Times New Roman" w:eastAsia="Times New Roman" w:hAnsi="Times New Roman" w:cs="Times New Roman"/>
          <w:sz w:val="24"/>
          <w:szCs w:val="24"/>
          <w:lang w:eastAsia="tr-TR"/>
        </w:rPr>
        <w:t>palmaro</w:t>
      </w:r>
      <w:r w:rsidR="009B18FC">
        <w:rPr>
          <w:rFonts w:ascii="Times New Roman" w:eastAsia="Times New Roman" w:hAnsi="Times New Roman" w:cs="Times New Roman"/>
          <w:sz w:val="24"/>
          <w:szCs w:val="24"/>
          <w:lang w:eastAsia="tr-TR"/>
        </w:rPr>
        <w:t>z</w:t>
      </w:r>
      <w:r w:rsidRPr="009F7F21">
        <w:rPr>
          <w:rFonts w:ascii="Times New Roman" w:eastAsia="Times New Roman" w:hAnsi="Times New Roman" w:cs="Times New Roman"/>
          <w:sz w:val="24"/>
          <w:szCs w:val="24"/>
          <w:lang w:eastAsia="tr-TR"/>
        </w:rPr>
        <w:t>a</w:t>
      </w:r>
      <w:proofErr w:type="spellEnd"/>
      <w:r w:rsidRPr="009F7F21">
        <w:rPr>
          <w:rFonts w:ascii="Times New Roman" w:eastAsia="Times New Roman" w:hAnsi="Times New Roman" w:cs="Times New Roman"/>
          <w:sz w:val="24"/>
          <w:szCs w:val="24"/>
          <w:lang w:eastAsia="tr-TR"/>
        </w:rPr>
        <w:t xml:space="preserve"> yağı için uzun dönem </w:t>
      </w:r>
      <w:proofErr w:type="spellStart"/>
      <w:r w:rsidRPr="009F7F21">
        <w:rPr>
          <w:rFonts w:ascii="Times New Roman" w:eastAsia="Times New Roman" w:hAnsi="Times New Roman" w:cs="Times New Roman"/>
          <w:sz w:val="24"/>
          <w:szCs w:val="24"/>
          <w:lang w:eastAsia="tr-TR"/>
        </w:rPr>
        <w:t>karsinojenisite</w:t>
      </w:r>
      <w:proofErr w:type="spellEnd"/>
      <w:r w:rsidRPr="009F7F21">
        <w:rPr>
          <w:rFonts w:ascii="Times New Roman" w:eastAsia="Times New Roman" w:hAnsi="Times New Roman" w:cs="Times New Roman"/>
          <w:sz w:val="24"/>
          <w:szCs w:val="24"/>
          <w:lang w:eastAsia="tr-TR"/>
        </w:rPr>
        <w:t xml:space="preserve"> verilerinin bulunmaması önemli bir veri boşluğu oluşturmaktadır.</w:t>
      </w:r>
    </w:p>
    <w:p w14:paraId="53ECBEBE" w14:textId="77777777" w:rsidR="00A945BE" w:rsidRPr="009F7F21" w:rsidRDefault="00A945BE" w:rsidP="00A945BE">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proofErr w:type="spellStart"/>
      <w:r w:rsidRPr="009F7F21">
        <w:rPr>
          <w:rFonts w:ascii="Times New Roman" w:eastAsia="Times New Roman" w:hAnsi="Times New Roman" w:cs="Times New Roman"/>
          <w:sz w:val="24"/>
          <w:szCs w:val="24"/>
          <w:lang w:eastAsia="tr-TR"/>
        </w:rPr>
        <w:t>Geraniol</w:t>
      </w:r>
      <w:proofErr w:type="spellEnd"/>
      <w:r w:rsidRPr="009F7F2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Uluslararası Kanser Araştırma Örgütü (IARC)</w:t>
      </w:r>
      <w:r w:rsidRPr="009F7F21">
        <w:rPr>
          <w:rFonts w:ascii="Times New Roman" w:eastAsia="Times New Roman" w:hAnsi="Times New Roman" w:cs="Times New Roman"/>
          <w:sz w:val="24"/>
          <w:szCs w:val="24"/>
          <w:lang w:eastAsia="tr-TR"/>
        </w:rPr>
        <w:t xml:space="preserve"> tarafından </w:t>
      </w:r>
      <w:proofErr w:type="spellStart"/>
      <w:r>
        <w:rPr>
          <w:rFonts w:ascii="Times New Roman" w:eastAsia="Times New Roman" w:hAnsi="Times New Roman" w:cs="Times New Roman"/>
          <w:sz w:val="24"/>
          <w:szCs w:val="24"/>
          <w:lang w:eastAsia="tr-TR"/>
        </w:rPr>
        <w:t>karsinojen</w:t>
      </w:r>
      <w:proofErr w:type="spellEnd"/>
      <w:r>
        <w:rPr>
          <w:rFonts w:ascii="Times New Roman" w:eastAsia="Times New Roman" w:hAnsi="Times New Roman" w:cs="Times New Roman"/>
          <w:sz w:val="24"/>
          <w:szCs w:val="24"/>
          <w:lang w:eastAsia="tr-TR"/>
        </w:rPr>
        <w:t xml:space="preserve"> olarak</w:t>
      </w:r>
      <w:r w:rsidRPr="009F7F21">
        <w:rPr>
          <w:rFonts w:ascii="Times New Roman" w:eastAsia="Times New Roman" w:hAnsi="Times New Roman" w:cs="Times New Roman"/>
          <w:sz w:val="24"/>
          <w:szCs w:val="24"/>
          <w:lang w:eastAsia="tr-TR"/>
        </w:rPr>
        <w:t xml:space="preserve"> sınıflandırılmamıştır.</w:t>
      </w:r>
    </w:p>
    <w:p w14:paraId="62B91290" w14:textId="77777777" w:rsidR="009F7F21" w:rsidRPr="00FC6DFA" w:rsidRDefault="009F7F21" w:rsidP="00FC6DFA">
      <w:pPr>
        <w:spacing w:before="120" w:after="120" w:line="276" w:lineRule="auto"/>
        <w:ind w:left="1241" w:hanging="442"/>
        <w:jc w:val="both"/>
        <w:rPr>
          <w:rFonts w:ascii="Times New Roman" w:eastAsia="Times New Roman" w:hAnsi="Times New Roman" w:cs="Times New Roman"/>
          <w:b/>
          <w:bCs/>
          <w:i/>
          <w:sz w:val="24"/>
          <w:szCs w:val="24"/>
          <w:lang w:eastAsia="tr-TR"/>
        </w:rPr>
      </w:pPr>
      <w:r w:rsidRPr="00FC6DFA">
        <w:rPr>
          <w:rFonts w:ascii="Times New Roman" w:eastAsia="Times New Roman" w:hAnsi="Times New Roman" w:cs="Times New Roman"/>
          <w:b/>
          <w:bCs/>
          <w:i/>
          <w:sz w:val="24"/>
          <w:szCs w:val="24"/>
          <w:lang w:eastAsia="tr-TR"/>
        </w:rPr>
        <w:t xml:space="preserve">8.5. Üreme ve Gelişimsel </w:t>
      </w:r>
      <w:proofErr w:type="spellStart"/>
      <w:r w:rsidRPr="00FC6DFA">
        <w:rPr>
          <w:rFonts w:ascii="Times New Roman" w:eastAsia="Times New Roman" w:hAnsi="Times New Roman" w:cs="Times New Roman"/>
          <w:b/>
          <w:bCs/>
          <w:i/>
          <w:sz w:val="24"/>
          <w:szCs w:val="24"/>
          <w:lang w:eastAsia="tr-TR"/>
        </w:rPr>
        <w:t>Toksisite</w:t>
      </w:r>
      <w:proofErr w:type="spellEnd"/>
    </w:p>
    <w:p w14:paraId="710A136C" w14:textId="3FB6A111" w:rsidR="009F7F21" w:rsidRPr="009F7F21" w:rsidRDefault="009F7F21" w:rsidP="009C516A">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i/>
          <w:iCs/>
          <w:sz w:val="24"/>
          <w:szCs w:val="24"/>
          <w:lang w:eastAsia="tr-TR"/>
        </w:rPr>
        <w:t>C</w:t>
      </w:r>
      <w:r w:rsidR="00336BE2">
        <w:rPr>
          <w:rFonts w:ascii="Times New Roman" w:eastAsia="Times New Roman" w:hAnsi="Times New Roman" w:cs="Times New Roman"/>
          <w:i/>
          <w:iCs/>
          <w:sz w:val="24"/>
          <w:szCs w:val="24"/>
          <w:lang w:eastAsia="tr-TR"/>
        </w:rPr>
        <w:t>.</w:t>
      </w:r>
      <w:r w:rsidRPr="009F7F21">
        <w:rPr>
          <w:rFonts w:ascii="Times New Roman" w:eastAsia="Times New Roman" w:hAnsi="Times New Roman" w:cs="Times New Roman"/>
          <w:i/>
          <w:iCs/>
          <w:sz w:val="24"/>
          <w:szCs w:val="24"/>
          <w:lang w:eastAsia="tr-TR"/>
        </w:rPr>
        <w:t xml:space="preserve"> martini</w:t>
      </w:r>
      <w:r w:rsidRPr="009F7F21">
        <w:rPr>
          <w:rFonts w:ascii="Times New Roman" w:eastAsia="Times New Roman" w:hAnsi="Times New Roman" w:cs="Times New Roman"/>
          <w:sz w:val="24"/>
          <w:szCs w:val="24"/>
          <w:lang w:eastAsia="tr-TR"/>
        </w:rPr>
        <w:t xml:space="preserve"> uçucu yağı için doğrudan üreme ve gelişimsel </w:t>
      </w:r>
      <w:proofErr w:type="spellStart"/>
      <w:r w:rsidRPr="009F7F21">
        <w:rPr>
          <w:rFonts w:ascii="Times New Roman" w:eastAsia="Times New Roman" w:hAnsi="Times New Roman" w:cs="Times New Roman"/>
          <w:sz w:val="24"/>
          <w:szCs w:val="24"/>
          <w:lang w:eastAsia="tr-TR"/>
        </w:rPr>
        <w:t>toksisiteye</w:t>
      </w:r>
      <w:proofErr w:type="spellEnd"/>
      <w:r w:rsidRPr="009F7F21">
        <w:rPr>
          <w:rFonts w:ascii="Times New Roman" w:eastAsia="Times New Roman" w:hAnsi="Times New Roman" w:cs="Times New Roman"/>
          <w:sz w:val="24"/>
          <w:szCs w:val="24"/>
          <w:lang w:eastAsia="tr-TR"/>
        </w:rPr>
        <w:t xml:space="preserve"> yönelik spesifik çalışmalar bulunmamaktadır. Bununla birlikte, ana bileşen olan </w:t>
      </w:r>
      <w:proofErr w:type="spellStart"/>
      <w:r w:rsidRPr="009F7F21">
        <w:rPr>
          <w:rFonts w:ascii="Times New Roman" w:eastAsia="Times New Roman" w:hAnsi="Times New Roman" w:cs="Times New Roman"/>
          <w:sz w:val="24"/>
          <w:szCs w:val="24"/>
          <w:lang w:eastAsia="tr-TR"/>
        </w:rPr>
        <w:t>geraniol</w:t>
      </w:r>
      <w:proofErr w:type="spellEnd"/>
      <w:r w:rsidRPr="009F7F21">
        <w:rPr>
          <w:rFonts w:ascii="Times New Roman" w:eastAsia="Times New Roman" w:hAnsi="Times New Roman" w:cs="Times New Roman"/>
          <w:sz w:val="24"/>
          <w:szCs w:val="24"/>
          <w:lang w:eastAsia="tr-TR"/>
        </w:rPr>
        <w:t xml:space="preserve"> için mevcut veriler sınırlıdır ancak belirgin bir üreme veya gelişimsel </w:t>
      </w:r>
      <w:proofErr w:type="spellStart"/>
      <w:r w:rsidRPr="009F7F21">
        <w:rPr>
          <w:rFonts w:ascii="Times New Roman" w:eastAsia="Times New Roman" w:hAnsi="Times New Roman" w:cs="Times New Roman"/>
          <w:sz w:val="24"/>
          <w:szCs w:val="24"/>
          <w:lang w:eastAsia="tr-TR"/>
        </w:rPr>
        <w:t>toksisiteye</w:t>
      </w:r>
      <w:proofErr w:type="spellEnd"/>
      <w:r w:rsidRPr="009F7F21">
        <w:rPr>
          <w:rFonts w:ascii="Times New Roman" w:eastAsia="Times New Roman" w:hAnsi="Times New Roman" w:cs="Times New Roman"/>
          <w:sz w:val="24"/>
          <w:szCs w:val="24"/>
          <w:lang w:eastAsia="tr-TR"/>
        </w:rPr>
        <w:t xml:space="preserve"> işaret etmemektedir (</w:t>
      </w:r>
      <w:proofErr w:type="spellStart"/>
      <w:r w:rsidRPr="009F7F21">
        <w:rPr>
          <w:rFonts w:ascii="Times New Roman" w:eastAsia="Times New Roman" w:hAnsi="Times New Roman" w:cs="Times New Roman"/>
          <w:sz w:val="24"/>
          <w:szCs w:val="24"/>
          <w:lang w:eastAsia="tr-TR"/>
        </w:rPr>
        <w:t>Api</w:t>
      </w:r>
      <w:proofErr w:type="spellEnd"/>
      <w:r w:rsidRPr="009F7F21">
        <w:rPr>
          <w:rFonts w:ascii="Times New Roman" w:eastAsia="Times New Roman" w:hAnsi="Times New Roman" w:cs="Times New Roman"/>
          <w:sz w:val="24"/>
          <w:szCs w:val="24"/>
          <w:lang w:eastAsia="tr-TR"/>
        </w:rPr>
        <w:t xml:space="preserve"> ve ark., 2022).</w:t>
      </w:r>
    </w:p>
    <w:p w14:paraId="2A9812C4" w14:textId="3F421759" w:rsidR="009F7F21" w:rsidRPr="009F7F21" w:rsidRDefault="009F7F21" w:rsidP="009C516A">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sz w:val="24"/>
          <w:szCs w:val="24"/>
          <w:lang w:eastAsia="tr-TR"/>
        </w:rPr>
        <w:t>Mevcut hayvan verileri, yüksek doz maruz</w:t>
      </w:r>
      <w:r w:rsidR="00B70FFA">
        <w:rPr>
          <w:rFonts w:ascii="Times New Roman" w:eastAsia="Times New Roman" w:hAnsi="Times New Roman" w:cs="Times New Roman"/>
          <w:sz w:val="24"/>
          <w:szCs w:val="24"/>
          <w:lang w:eastAsia="tr-TR"/>
        </w:rPr>
        <w:t xml:space="preserve"> kalmalarda </w:t>
      </w:r>
      <w:proofErr w:type="spellStart"/>
      <w:r w:rsidRPr="009F7F21">
        <w:rPr>
          <w:rFonts w:ascii="Times New Roman" w:eastAsia="Times New Roman" w:hAnsi="Times New Roman" w:cs="Times New Roman"/>
          <w:sz w:val="24"/>
          <w:szCs w:val="24"/>
          <w:lang w:eastAsia="tr-TR"/>
        </w:rPr>
        <w:t>maternal</w:t>
      </w:r>
      <w:proofErr w:type="spellEnd"/>
      <w:r w:rsidRPr="009F7F21">
        <w:rPr>
          <w:rFonts w:ascii="Times New Roman" w:eastAsia="Times New Roman" w:hAnsi="Times New Roman" w:cs="Times New Roman"/>
          <w:sz w:val="24"/>
          <w:szCs w:val="24"/>
          <w:lang w:eastAsia="tr-TR"/>
        </w:rPr>
        <w:t xml:space="preserve"> </w:t>
      </w:r>
      <w:proofErr w:type="spellStart"/>
      <w:r w:rsidRPr="009F7F21">
        <w:rPr>
          <w:rFonts w:ascii="Times New Roman" w:eastAsia="Times New Roman" w:hAnsi="Times New Roman" w:cs="Times New Roman"/>
          <w:sz w:val="24"/>
          <w:szCs w:val="24"/>
          <w:lang w:eastAsia="tr-TR"/>
        </w:rPr>
        <w:t>toksisiteye</w:t>
      </w:r>
      <w:proofErr w:type="spellEnd"/>
      <w:r w:rsidRPr="009F7F21">
        <w:rPr>
          <w:rFonts w:ascii="Times New Roman" w:eastAsia="Times New Roman" w:hAnsi="Times New Roman" w:cs="Times New Roman"/>
          <w:sz w:val="24"/>
          <w:szCs w:val="24"/>
          <w:lang w:eastAsia="tr-TR"/>
        </w:rPr>
        <w:t xml:space="preserve"> bağlı </w:t>
      </w:r>
      <w:proofErr w:type="spellStart"/>
      <w:r w:rsidRPr="009F7F21">
        <w:rPr>
          <w:rFonts w:ascii="Times New Roman" w:eastAsia="Times New Roman" w:hAnsi="Times New Roman" w:cs="Times New Roman"/>
          <w:sz w:val="24"/>
          <w:szCs w:val="24"/>
          <w:lang w:eastAsia="tr-TR"/>
        </w:rPr>
        <w:t>sekonder</w:t>
      </w:r>
      <w:proofErr w:type="spellEnd"/>
      <w:r w:rsidRPr="009F7F21">
        <w:rPr>
          <w:rFonts w:ascii="Times New Roman" w:eastAsia="Times New Roman" w:hAnsi="Times New Roman" w:cs="Times New Roman"/>
          <w:sz w:val="24"/>
          <w:szCs w:val="24"/>
          <w:lang w:eastAsia="tr-TR"/>
        </w:rPr>
        <w:t xml:space="preserve"> etkiler görülebileceğini, ancak </w:t>
      </w:r>
      <w:proofErr w:type="spellStart"/>
      <w:r w:rsidRPr="009F7F21">
        <w:rPr>
          <w:rFonts w:ascii="Times New Roman" w:eastAsia="Times New Roman" w:hAnsi="Times New Roman" w:cs="Times New Roman"/>
          <w:sz w:val="24"/>
          <w:szCs w:val="24"/>
          <w:lang w:eastAsia="tr-TR"/>
        </w:rPr>
        <w:t>teratojenik</w:t>
      </w:r>
      <w:proofErr w:type="spellEnd"/>
      <w:r w:rsidRPr="009F7F21">
        <w:rPr>
          <w:rFonts w:ascii="Times New Roman" w:eastAsia="Times New Roman" w:hAnsi="Times New Roman" w:cs="Times New Roman"/>
          <w:sz w:val="24"/>
          <w:szCs w:val="24"/>
          <w:lang w:eastAsia="tr-TR"/>
        </w:rPr>
        <w:t xml:space="preserve"> veya </w:t>
      </w:r>
      <w:proofErr w:type="spellStart"/>
      <w:r w:rsidRPr="009F7F21">
        <w:rPr>
          <w:rFonts w:ascii="Times New Roman" w:eastAsia="Times New Roman" w:hAnsi="Times New Roman" w:cs="Times New Roman"/>
          <w:sz w:val="24"/>
          <w:szCs w:val="24"/>
          <w:lang w:eastAsia="tr-TR"/>
        </w:rPr>
        <w:t>embriyotoksik</w:t>
      </w:r>
      <w:proofErr w:type="spellEnd"/>
      <w:r w:rsidRPr="009F7F21">
        <w:rPr>
          <w:rFonts w:ascii="Times New Roman" w:eastAsia="Times New Roman" w:hAnsi="Times New Roman" w:cs="Times New Roman"/>
          <w:sz w:val="24"/>
          <w:szCs w:val="24"/>
          <w:lang w:eastAsia="tr-TR"/>
        </w:rPr>
        <w:t xml:space="preserve"> etkiyi destekleyen tutarlı kanıt bulunmadığını göstermektedir. </w:t>
      </w:r>
      <w:proofErr w:type="spellStart"/>
      <w:r w:rsidRPr="009F7F21">
        <w:rPr>
          <w:rFonts w:ascii="Times New Roman" w:eastAsia="Times New Roman" w:hAnsi="Times New Roman" w:cs="Times New Roman"/>
          <w:sz w:val="24"/>
          <w:szCs w:val="24"/>
          <w:lang w:eastAsia="tr-TR"/>
        </w:rPr>
        <w:t>Geraniolün</w:t>
      </w:r>
      <w:proofErr w:type="spellEnd"/>
      <w:r w:rsidRPr="009F7F21">
        <w:rPr>
          <w:rFonts w:ascii="Times New Roman" w:eastAsia="Times New Roman" w:hAnsi="Times New Roman" w:cs="Times New Roman"/>
          <w:sz w:val="24"/>
          <w:szCs w:val="24"/>
          <w:lang w:eastAsia="tr-TR"/>
        </w:rPr>
        <w:t xml:space="preserve"> hızlı </w:t>
      </w:r>
      <w:proofErr w:type="spellStart"/>
      <w:r w:rsidRPr="009F7F21">
        <w:rPr>
          <w:rFonts w:ascii="Times New Roman" w:eastAsia="Times New Roman" w:hAnsi="Times New Roman" w:cs="Times New Roman"/>
          <w:sz w:val="24"/>
          <w:szCs w:val="24"/>
          <w:lang w:eastAsia="tr-TR"/>
        </w:rPr>
        <w:t>metabolize</w:t>
      </w:r>
      <w:proofErr w:type="spellEnd"/>
      <w:r w:rsidRPr="009F7F21">
        <w:rPr>
          <w:rFonts w:ascii="Times New Roman" w:eastAsia="Times New Roman" w:hAnsi="Times New Roman" w:cs="Times New Roman"/>
          <w:sz w:val="24"/>
          <w:szCs w:val="24"/>
          <w:lang w:eastAsia="tr-TR"/>
        </w:rPr>
        <w:t xml:space="preserve"> edilmesi ve </w:t>
      </w:r>
      <w:proofErr w:type="spellStart"/>
      <w:r w:rsidRPr="009F7F21">
        <w:rPr>
          <w:rFonts w:ascii="Times New Roman" w:eastAsia="Times New Roman" w:hAnsi="Times New Roman" w:cs="Times New Roman"/>
          <w:sz w:val="24"/>
          <w:szCs w:val="24"/>
          <w:lang w:eastAsia="tr-TR"/>
        </w:rPr>
        <w:t>biyokümülatif</w:t>
      </w:r>
      <w:proofErr w:type="spellEnd"/>
      <w:r w:rsidRPr="009F7F21">
        <w:rPr>
          <w:rFonts w:ascii="Times New Roman" w:eastAsia="Times New Roman" w:hAnsi="Times New Roman" w:cs="Times New Roman"/>
          <w:sz w:val="24"/>
          <w:szCs w:val="24"/>
          <w:lang w:eastAsia="tr-TR"/>
        </w:rPr>
        <w:t xml:space="preserve"> özellik göstermemesi de riskin düşük olabileceğine işaret etmektedir.</w:t>
      </w:r>
    </w:p>
    <w:p w14:paraId="2714BED9" w14:textId="77777777" w:rsidR="009F7F21" w:rsidRPr="009F7F21" w:rsidRDefault="009F7F21" w:rsidP="009C516A">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sz w:val="24"/>
          <w:szCs w:val="24"/>
          <w:lang w:eastAsia="tr-TR"/>
        </w:rPr>
        <w:lastRenderedPageBreak/>
        <w:t xml:space="preserve">OECD 443/GLP uyumlu genişletilmiş bir çalışmada, </w:t>
      </w:r>
      <w:proofErr w:type="spellStart"/>
      <w:r w:rsidRPr="009F7F21">
        <w:rPr>
          <w:rFonts w:ascii="Times New Roman" w:eastAsia="Times New Roman" w:hAnsi="Times New Roman" w:cs="Times New Roman"/>
          <w:sz w:val="24"/>
          <w:szCs w:val="24"/>
          <w:lang w:eastAsia="tr-TR"/>
        </w:rPr>
        <w:t>Wistar</w:t>
      </w:r>
      <w:proofErr w:type="spellEnd"/>
      <w:r w:rsidRPr="009F7F21">
        <w:rPr>
          <w:rFonts w:ascii="Times New Roman" w:eastAsia="Times New Roman" w:hAnsi="Times New Roman" w:cs="Times New Roman"/>
          <w:sz w:val="24"/>
          <w:szCs w:val="24"/>
          <w:lang w:eastAsia="tr-TR"/>
        </w:rPr>
        <w:t xml:space="preserve"> Han sıçanlara 0, 50, 200 ve 800 mg/kg/gün dozlarında oral </w:t>
      </w:r>
      <w:proofErr w:type="spellStart"/>
      <w:r w:rsidRPr="009F7F21">
        <w:rPr>
          <w:rFonts w:ascii="Times New Roman" w:eastAsia="Times New Roman" w:hAnsi="Times New Roman" w:cs="Times New Roman"/>
          <w:sz w:val="24"/>
          <w:szCs w:val="24"/>
          <w:lang w:eastAsia="tr-TR"/>
        </w:rPr>
        <w:t>gavaj</w:t>
      </w:r>
      <w:proofErr w:type="spellEnd"/>
      <w:r w:rsidRPr="009F7F21">
        <w:rPr>
          <w:rFonts w:ascii="Times New Roman" w:eastAsia="Times New Roman" w:hAnsi="Times New Roman" w:cs="Times New Roman"/>
          <w:sz w:val="24"/>
          <w:szCs w:val="24"/>
          <w:lang w:eastAsia="tr-TR"/>
        </w:rPr>
        <w:t xml:space="preserve"> uygulanmıştır. F0 hayvanlarında yüksek dozda nörolojik belirtiler, karaciğer enzimlerinde artış ve bazı organ ağırlıklarında artış gözlenmiştir. </w:t>
      </w:r>
      <w:proofErr w:type="spellStart"/>
      <w:r w:rsidRPr="009F7F21">
        <w:rPr>
          <w:rFonts w:ascii="Times New Roman" w:eastAsia="Times New Roman" w:hAnsi="Times New Roman" w:cs="Times New Roman"/>
          <w:sz w:val="24"/>
          <w:szCs w:val="24"/>
          <w:lang w:eastAsia="tr-TR"/>
        </w:rPr>
        <w:t>Histopatolojik</w:t>
      </w:r>
      <w:proofErr w:type="spellEnd"/>
      <w:r w:rsidRPr="009F7F21">
        <w:rPr>
          <w:rFonts w:ascii="Times New Roman" w:eastAsia="Times New Roman" w:hAnsi="Times New Roman" w:cs="Times New Roman"/>
          <w:sz w:val="24"/>
          <w:szCs w:val="24"/>
          <w:lang w:eastAsia="tr-TR"/>
        </w:rPr>
        <w:t xml:space="preserve"> olarak özellikle </w:t>
      </w:r>
      <w:proofErr w:type="spellStart"/>
      <w:r w:rsidRPr="009F7F21">
        <w:rPr>
          <w:rFonts w:ascii="Times New Roman" w:eastAsia="Times New Roman" w:hAnsi="Times New Roman" w:cs="Times New Roman"/>
          <w:sz w:val="24"/>
          <w:szCs w:val="24"/>
          <w:lang w:eastAsia="tr-TR"/>
        </w:rPr>
        <w:t>olfaktör</w:t>
      </w:r>
      <w:proofErr w:type="spellEnd"/>
      <w:r w:rsidRPr="009F7F21">
        <w:rPr>
          <w:rFonts w:ascii="Times New Roman" w:eastAsia="Times New Roman" w:hAnsi="Times New Roman" w:cs="Times New Roman"/>
          <w:sz w:val="24"/>
          <w:szCs w:val="24"/>
          <w:lang w:eastAsia="tr-TR"/>
        </w:rPr>
        <w:t xml:space="preserve"> </w:t>
      </w:r>
      <w:proofErr w:type="spellStart"/>
      <w:r w:rsidRPr="009F7F21">
        <w:rPr>
          <w:rFonts w:ascii="Times New Roman" w:eastAsia="Times New Roman" w:hAnsi="Times New Roman" w:cs="Times New Roman"/>
          <w:sz w:val="24"/>
          <w:szCs w:val="24"/>
          <w:lang w:eastAsia="tr-TR"/>
        </w:rPr>
        <w:t>epitelde</w:t>
      </w:r>
      <w:proofErr w:type="spellEnd"/>
      <w:r w:rsidRPr="009F7F21">
        <w:rPr>
          <w:rFonts w:ascii="Times New Roman" w:eastAsia="Times New Roman" w:hAnsi="Times New Roman" w:cs="Times New Roman"/>
          <w:sz w:val="24"/>
          <w:szCs w:val="24"/>
          <w:lang w:eastAsia="tr-TR"/>
        </w:rPr>
        <w:t xml:space="preserve"> dejenerasyon dikkat çekmiştir.</w:t>
      </w:r>
    </w:p>
    <w:p w14:paraId="61EA55E9" w14:textId="77777777" w:rsidR="009F7F21" w:rsidRPr="009F7F21" w:rsidRDefault="009F7F21" w:rsidP="009C516A">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sz w:val="24"/>
          <w:szCs w:val="24"/>
          <w:lang w:eastAsia="tr-TR"/>
        </w:rPr>
        <w:t>Bu bulgular doğrultusunda, F0 hayvanlarında 800 mg/kg/gün dozunda gözlenen etkiler temel alınarak NOAEL değeri 200 mg/kg/gün olarak belirlenmiştir (</w:t>
      </w:r>
      <w:proofErr w:type="spellStart"/>
      <w:r w:rsidRPr="009F7F21">
        <w:rPr>
          <w:rFonts w:ascii="Times New Roman" w:eastAsia="Times New Roman" w:hAnsi="Times New Roman" w:cs="Times New Roman"/>
          <w:sz w:val="24"/>
          <w:szCs w:val="24"/>
          <w:lang w:eastAsia="tr-TR"/>
        </w:rPr>
        <w:t>Api</w:t>
      </w:r>
      <w:proofErr w:type="spellEnd"/>
      <w:r w:rsidRPr="009F7F21">
        <w:rPr>
          <w:rFonts w:ascii="Times New Roman" w:eastAsia="Times New Roman" w:hAnsi="Times New Roman" w:cs="Times New Roman"/>
          <w:sz w:val="24"/>
          <w:szCs w:val="24"/>
          <w:lang w:eastAsia="tr-TR"/>
        </w:rPr>
        <w:t xml:space="preserve"> ve ark., 2022).</w:t>
      </w:r>
    </w:p>
    <w:p w14:paraId="75EEA5A1" w14:textId="11BF36EE" w:rsidR="009F7F21" w:rsidRDefault="009F7F21" w:rsidP="009C516A">
      <w:pPr>
        <w:spacing w:before="100" w:beforeAutospacing="1" w:after="100" w:afterAutospacing="1" w:line="276" w:lineRule="auto"/>
        <w:ind w:firstLine="708"/>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sz w:val="24"/>
          <w:szCs w:val="24"/>
          <w:lang w:eastAsia="tr-TR"/>
        </w:rPr>
        <w:t xml:space="preserve">Genel olarak mevcut veriler </w:t>
      </w:r>
      <w:proofErr w:type="spellStart"/>
      <w:r w:rsidRPr="009F7F21">
        <w:rPr>
          <w:rFonts w:ascii="Times New Roman" w:eastAsia="Times New Roman" w:hAnsi="Times New Roman" w:cs="Times New Roman"/>
          <w:sz w:val="24"/>
          <w:szCs w:val="24"/>
          <w:lang w:eastAsia="tr-TR"/>
        </w:rPr>
        <w:t>geraniol</w:t>
      </w:r>
      <w:proofErr w:type="spellEnd"/>
      <w:r w:rsidRPr="009F7F21">
        <w:rPr>
          <w:rFonts w:ascii="Times New Roman" w:eastAsia="Times New Roman" w:hAnsi="Times New Roman" w:cs="Times New Roman"/>
          <w:sz w:val="24"/>
          <w:szCs w:val="24"/>
          <w:lang w:eastAsia="tr-TR"/>
        </w:rPr>
        <w:t xml:space="preserve"> için belirgin bir üreme veya gelişimsel </w:t>
      </w:r>
      <w:proofErr w:type="spellStart"/>
      <w:r w:rsidRPr="009F7F21">
        <w:rPr>
          <w:rFonts w:ascii="Times New Roman" w:eastAsia="Times New Roman" w:hAnsi="Times New Roman" w:cs="Times New Roman"/>
          <w:sz w:val="24"/>
          <w:szCs w:val="24"/>
          <w:lang w:eastAsia="tr-TR"/>
        </w:rPr>
        <w:t>toksisite</w:t>
      </w:r>
      <w:proofErr w:type="spellEnd"/>
      <w:r w:rsidRPr="009F7F21">
        <w:rPr>
          <w:rFonts w:ascii="Times New Roman" w:eastAsia="Times New Roman" w:hAnsi="Times New Roman" w:cs="Times New Roman"/>
          <w:sz w:val="24"/>
          <w:szCs w:val="24"/>
          <w:lang w:eastAsia="tr-TR"/>
        </w:rPr>
        <w:t xml:space="preserve"> riski göstermemekle birlikte, veri eksikliği nedeniyle ihtiyatlı yaklaşım önerilmektedir.</w:t>
      </w:r>
    </w:p>
    <w:p w14:paraId="6FAAF724" w14:textId="29D1F2FA" w:rsidR="001313C5" w:rsidRPr="00FC6DFA" w:rsidRDefault="001313C5" w:rsidP="00FC6DFA">
      <w:pPr>
        <w:spacing w:before="120" w:after="120" w:line="276" w:lineRule="auto"/>
        <w:ind w:left="1241" w:hanging="442"/>
        <w:jc w:val="both"/>
        <w:rPr>
          <w:rFonts w:ascii="Times New Roman" w:eastAsia="Times New Roman" w:hAnsi="Times New Roman" w:cs="Times New Roman"/>
          <w:b/>
          <w:i/>
          <w:sz w:val="24"/>
          <w:szCs w:val="24"/>
          <w:lang w:eastAsia="tr-TR"/>
        </w:rPr>
      </w:pPr>
      <w:r w:rsidRPr="00FC6DFA">
        <w:rPr>
          <w:rFonts w:ascii="Times New Roman" w:eastAsia="Times New Roman" w:hAnsi="Times New Roman" w:cs="Times New Roman"/>
          <w:b/>
          <w:i/>
          <w:sz w:val="24"/>
          <w:szCs w:val="24"/>
          <w:lang w:eastAsia="tr-TR"/>
        </w:rPr>
        <w:t>8.7 Aşırı duyarlılık</w:t>
      </w:r>
    </w:p>
    <w:p w14:paraId="0F165D6E" w14:textId="573B33B8" w:rsidR="001313C5" w:rsidRPr="00FC6DFA" w:rsidRDefault="001313C5" w:rsidP="00FC6DFA">
      <w:pPr>
        <w:pStyle w:val="NormalWeb"/>
        <w:spacing w:before="120" w:beforeAutospacing="0" w:after="120" w:afterAutospacing="0" w:line="276" w:lineRule="auto"/>
        <w:ind w:left="1241" w:hanging="442"/>
        <w:jc w:val="both"/>
        <w:rPr>
          <w:i/>
        </w:rPr>
      </w:pPr>
      <w:r w:rsidRPr="00FC6DFA">
        <w:rPr>
          <w:b/>
          <w:bCs/>
          <w:i/>
          <w:color w:val="000000"/>
        </w:rPr>
        <w:t>8.7.1.</w:t>
      </w:r>
      <w:r w:rsidRPr="00FC6DFA">
        <w:rPr>
          <w:i/>
          <w:color w:val="000000"/>
        </w:rPr>
        <w:t> </w:t>
      </w:r>
      <w:proofErr w:type="spellStart"/>
      <w:r w:rsidRPr="00FC6DFA">
        <w:rPr>
          <w:b/>
          <w:bCs/>
          <w:i/>
          <w:color w:val="000000"/>
        </w:rPr>
        <w:t>Alerjenite</w:t>
      </w:r>
      <w:proofErr w:type="spellEnd"/>
    </w:p>
    <w:p w14:paraId="0B8D0876" w14:textId="1A261CF9" w:rsidR="001313C5" w:rsidRPr="00D368FA" w:rsidRDefault="001313C5" w:rsidP="001313C5">
      <w:pPr>
        <w:pStyle w:val="NormalWeb"/>
        <w:spacing w:before="120" w:after="120" w:line="276" w:lineRule="auto"/>
        <w:ind w:firstLine="708"/>
        <w:jc w:val="both"/>
        <w:rPr>
          <w:color w:val="000000"/>
        </w:rPr>
      </w:pPr>
      <w:proofErr w:type="spellStart"/>
      <w:r w:rsidRPr="00D368FA">
        <w:rPr>
          <w:color w:val="000000"/>
        </w:rPr>
        <w:t>Palmaro</w:t>
      </w:r>
      <w:r w:rsidR="009B18FC">
        <w:rPr>
          <w:color w:val="000000"/>
        </w:rPr>
        <w:t>z</w:t>
      </w:r>
      <w:r w:rsidRPr="00D368FA">
        <w:rPr>
          <w:color w:val="000000"/>
        </w:rPr>
        <w:t>a</w:t>
      </w:r>
      <w:proofErr w:type="spellEnd"/>
      <w:r w:rsidRPr="00D368FA">
        <w:rPr>
          <w:color w:val="000000"/>
        </w:rPr>
        <w:t xml:space="preserve"> yağı (</w:t>
      </w:r>
      <w:proofErr w:type="spellStart"/>
      <w:r w:rsidRPr="001313C5">
        <w:rPr>
          <w:i/>
          <w:color w:val="000000"/>
        </w:rPr>
        <w:t>Cymbopogon</w:t>
      </w:r>
      <w:proofErr w:type="spellEnd"/>
      <w:r w:rsidRPr="001313C5">
        <w:rPr>
          <w:i/>
          <w:color w:val="000000"/>
        </w:rPr>
        <w:t xml:space="preserve"> martini</w:t>
      </w:r>
      <w:r w:rsidRPr="00D368FA">
        <w:rPr>
          <w:color w:val="000000"/>
        </w:rPr>
        <w:t xml:space="preserve">), yüksek düzeyde </w:t>
      </w:r>
      <w:proofErr w:type="spellStart"/>
      <w:r w:rsidRPr="00D368FA">
        <w:rPr>
          <w:color w:val="000000"/>
        </w:rPr>
        <w:t>geraniol</w:t>
      </w:r>
      <w:proofErr w:type="spellEnd"/>
      <w:r w:rsidRPr="00D368FA">
        <w:rPr>
          <w:color w:val="000000"/>
        </w:rPr>
        <w:t xml:space="preserve"> içeriği nedeniyle kozmetik ürünlerde alerjen potansiyeli taşıyan bileşenler arasında yer almaktadır. </w:t>
      </w:r>
      <w:proofErr w:type="spellStart"/>
      <w:r w:rsidRPr="00D368FA">
        <w:rPr>
          <w:color w:val="000000"/>
        </w:rPr>
        <w:t>Geraniol</w:t>
      </w:r>
      <w:proofErr w:type="spellEnd"/>
      <w:r w:rsidRPr="00D368FA">
        <w:rPr>
          <w:color w:val="000000"/>
        </w:rPr>
        <w:t>, Avrupa Birliği kozmetik mevzuatı kaps</w:t>
      </w:r>
      <w:r>
        <w:rPr>
          <w:color w:val="000000"/>
        </w:rPr>
        <w:t xml:space="preserve">amında tanımlanmış bir </w:t>
      </w:r>
      <w:r w:rsidR="009B18FC">
        <w:rPr>
          <w:color w:val="000000"/>
        </w:rPr>
        <w:t xml:space="preserve">koku </w:t>
      </w:r>
      <w:r w:rsidRPr="00D368FA">
        <w:rPr>
          <w:color w:val="000000"/>
        </w:rPr>
        <w:t xml:space="preserve">alerjeni olup, belirli konsantrasyonların üzerinde ürün etiketinde beyan edilmesi zorunludur. Klinik ve deneysel çalışmalar, bu bileşiğin </w:t>
      </w:r>
      <w:proofErr w:type="spellStart"/>
      <w:r w:rsidRPr="00D368FA">
        <w:rPr>
          <w:color w:val="000000"/>
        </w:rPr>
        <w:t>kontakt</w:t>
      </w:r>
      <w:proofErr w:type="spellEnd"/>
      <w:r w:rsidRPr="00D368FA">
        <w:rPr>
          <w:color w:val="000000"/>
        </w:rPr>
        <w:t xml:space="preserve"> dermatit ve cilt hassasiyetine yol açabileceğini göstermektedir. </w:t>
      </w:r>
      <w:proofErr w:type="spellStart"/>
      <w:r w:rsidRPr="00D368FA">
        <w:rPr>
          <w:color w:val="000000"/>
        </w:rPr>
        <w:t>Alerjenite</w:t>
      </w:r>
      <w:proofErr w:type="spellEnd"/>
      <w:r w:rsidRPr="00D368FA">
        <w:rPr>
          <w:color w:val="000000"/>
        </w:rPr>
        <w:t xml:space="preserve"> riski özellikle </w:t>
      </w:r>
      <w:r w:rsidR="009B18FC">
        <w:rPr>
          <w:color w:val="000000"/>
        </w:rPr>
        <w:t>durulanmayan</w:t>
      </w:r>
      <w:r w:rsidRPr="00D368FA">
        <w:rPr>
          <w:color w:val="000000"/>
        </w:rPr>
        <w:t xml:space="preserve"> ürünlerde ve yüksek konsantrasyonlarda belirgin şekilde artmaktadır.</w:t>
      </w:r>
    </w:p>
    <w:p w14:paraId="3C8A5163" w14:textId="28F26BF6" w:rsidR="001313C5" w:rsidRPr="00D368FA" w:rsidRDefault="001313C5" w:rsidP="001313C5">
      <w:pPr>
        <w:pStyle w:val="NormalWeb"/>
        <w:spacing w:before="120" w:after="120" w:line="276" w:lineRule="auto"/>
        <w:ind w:firstLine="708"/>
        <w:jc w:val="both"/>
        <w:rPr>
          <w:color w:val="000000"/>
        </w:rPr>
      </w:pPr>
      <w:proofErr w:type="spellStart"/>
      <w:r w:rsidRPr="00D368FA">
        <w:rPr>
          <w:color w:val="000000"/>
        </w:rPr>
        <w:t>Geraniol</w:t>
      </w:r>
      <w:proofErr w:type="spellEnd"/>
      <w:r w:rsidRPr="00D368FA">
        <w:rPr>
          <w:color w:val="000000"/>
        </w:rPr>
        <w:t xml:space="preserve">, insanlarda </w:t>
      </w:r>
      <w:proofErr w:type="spellStart"/>
      <w:r w:rsidRPr="00D368FA">
        <w:rPr>
          <w:color w:val="000000"/>
        </w:rPr>
        <w:t>kontakt</w:t>
      </w:r>
      <w:proofErr w:type="spellEnd"/>
      <w:r w:rsidRPr="00D368FA">
        <w:rPr>
          <w:color w:val="000000"/>
        </w:rPr>
        <w:t xml:space="preserve"> alerjen olarak tanımlanmış olup, </w:t>
      </w:r>
      <w:proofErr w:type="spellStart"/>
      <w:r w:rsidRPr="00D368FA">
        <w:rPr>
          <w:color w:val="000000"/>
        </w:rPr>
        <w:t>patch</w:t>
      </w:r>
      <w:proofErr w:type="spellEnd"/>
      <w:r w:rsidRPr="00D368FA">
        <w:rPr>
          <w:color w:val="000000"/>
        </w:rPr>
        <w:t xml:space="preserve"> test çalışmalarında düşük il</w:t>
      </w:r>
      <w:r w:rsidR="00264771">
        <w:rPr>
          <w:color w:val="000000"/>
        </w:rPr>
        <w:t>e</w:t>
      </w:r>
      <w:r w:rsidRPr="00D368FA">
        <w:rPr>
          <w:color w:val="000000"/>
        </w:rPr>
        <w:t xml:space="preserve"> orta düzeyde </w:t>
      </w:r>
      <w:proofErr w:type="spellStart"/>
      <w:r>
        <w:rPr>
          <w:color w:val="000000"/>
        </w:rPr>
        <w:t>duyarlanma</w:t>
      </w:r>
      <w:proofErr w:type="spellEnd"/>
      <w:r w:rsidRPr="00D368FA">
        <w:rPr>
          <w:color w:val="000000"/>
        </w:rPr>
        <w:t xml:space="preserve"> yanıtı oluşturduğu bildirilmiştir (</w:t>
      </w:r>
      <w:proofErr w:type="spellStart"/>
      <w:r w:rsidRPr="00D368FA">
        <w:rPr>
          <w:color w:val="000000"/>
        </w:rPr>
        <w:t>Lalko</w:t>
      </w:r>
      <w:proofErr w:type="spellEnd"/>
      <w:r w:rsidRPr="00D368FA">
        <w:rPr>
          <w:color w:val="000000"/>
        </w:rPr>
        <w:t xml:space="preserve"> ve </w:t>
      </w:r>
      <w:proofErr w:type="spellStart"/>
      <w:r w:rsidRPr="00D368FA">
        <w:rPr>
          <w:color w:val="000000"/>
        </w:rPr>
        <w:t>Api</w:t>
      </w:r>
      <w:proofErr w:type="spellEnd"/>
      <w:r w:rsidRPr="00D368FA">
        <w:rPr>
          <w:color w:val="000000"/>
        </w:rPr>
        <w:t xml:space="preserve">, 2006). Klinik olarak </w:t>
      </w:r>
      <w:proofErr w:type="spellStart"/>
      <w:r w:rsidRPr="00D368FA">
        <w:rPr>
          <w:color w:val="000000"/>
        </w:rPr>
        <w:t>eritem</w:t>
      </w:r>
      <w:proofErr w:type="spellEnd"/>
      <w:r w:rsidRPr="00D368FA">
        <w:rPr>
          <w:color w:val="000000"/>
        </w:rPr>
        <w:t xml:space="preserve">, kaşıntı ve </w:t>
      </w:r>
      <w:proofErr w:type="spellStart"/>
      <w:r w:rsidRPr="00D368FA">
        <w:rPr>
          <w:color w:val="000000"/>
        </w:rPr>
        <w:t>kontakt</w:t>
      </w:r>
      <w:proofErr w:type="spellEnd"/>
      <w:r w:rsidRPr="00D368FA">
        <w:rPr>
          <w:color w:val="000000"/>
        </w:rPr>
        <w:t xml:space="preserve"> dermatit gibi reaksiyonlar gözlemlenebilmektedir.</w:t>
      </w:r>
    </w:p>
    <w:p w14:paraId="24CEC5B1" w14:textId="77777777" w:rsidR="001313C5" w:rsidRPr="00D368FA" w:rsidRDefault="001313C5" w:rsidP="001313C5">
      <w:pPr>
        <w:pStyle w:val="NormalWeb"/>
        <w:spacing w:before="120" w:after="120" w:line="276" w:lineRule="auto"/>
        <w:ind w:firstLine="708"/>
        <w:jc w:val="both"/>
        <w:rPr>
          <w:color w:val="000000"/>
        </w:rPr>
      </w:pPr>
      <w:proofErr w:type="spellStart"/>
      <w:r w:rsidRPr="001313C5">
        <w:rPr>
          <w:i/>
          <w:color w:val="000000"/>
        </w:rPr>
        <w:t>Cymbopogon</w:t>
      </w:r>
      <w:proofErr w:type="spellEnd"/>
      <w:r w:rsidRPr="00D368FA">
        <w:rPr>
          <w:color w:val="000000"/>
        </w:rPr>
        <w:t xml:space="preserve"> </w:t>
      </w:r>
      <w:r w:rsidRPr="001313C5">
        <w:rPr>
          <w:i/>
          <w:color w:val="000000"/>
        </w:rPr>
        <w:t>martini</w:t>
      </w:r>
      <w:r w:rsidRPr="00D368FA">
        <w:rPr>
          <w:color w:val="000000"/>
        </w:rPr>
        <w:t xml:space="preserve"> uçucu yağının </w:t>
      </w:r>
      <w:proofErr w:type="spellStart"/>
      <w:r w:rsidRPr="00D368FA">
        <w:rPr>
          <w:color w:val="000000"/>
        </w:rPr>
        <w:t>dermal</w:t>
      </w:r>
      <w:proofErr w:type="spellEnd"/>
      <w:r w:rsidRPr="00D368FA">
        <w:rPr>
          <w:color w:val="000000"/>
        </w:rPr>
        <w:t xml:space="preserve"> </w:t>
      </w:r>
      <w:proofErr w:type="spellStart"/>
      <w:r w:rsidRPr="00D368FA">
        <w:rPr>
          <w:color w:val="000000"/>
        </w:rPr>
        <w:t>irritasyon</w:t>
      </w:r>
      <w:proofErr w:type="spellEnd"/>
      <w:r w:rsidRPr="00D368FA">
        <w:rPr>
          <w:color w:val="000000"/>
        </w:rPr>
        <w:t xml:space="preserve"> potansiyeli deneysel modellerde de değerlendirilmiştir. </w:t>
      </w:r>
      <w:proofErr w:type="spellStart"/>
      <w:r w:rsidRPr="00D368FA">
        <w:rPr>
          <w:color w:val="000000"/>
        </w:rPr>
        <w:t>Swiss</w:t>
      </w:r>
      <w:proofErr w:type="spellEnd"/>
      <w:r w:rsidRPr="00D368FA">
        <w:rPr>
          <w:color w:val="000000"/>
        </w:rPr>
        <w:t xml:space="preserve"> albino farelerde gerçekleştirilen bir çalışmada, %5 konsantrasyona kadar </w:t>
      </w:r>
      <w:proofErr w:type="spellStart"/>
      <w:r w:rsidRPr="00D368FA">
        <w:rPr>
          <w:color w:val="000000"/>
        </w:rPr>
        <w:t>irritasyon</w:t>
      </w:r>
      <w:proofErr w:type="spellEnd"/>
      <w:r w:rsidRPr="00D368FA">
        <w:rPr>
          <w:color w:val="000000"/>
        </w:rPr>
        <w:t xml:space="preserve"> gözlenmemiş (PDII: 0,5; ihmal edilebilir </w:t>
      </w:r>
      <w:proofErr w:type="spellStart"/>
      <w:r w:rsidRPr="00D368FA">
        <w:rPr>
          <w:color w:val="000000"/>
        </w:rPr>
        <w:t>irritan</w:t>
      </w:r>
      <w:proofErr w:type="spellEnd"/>
      <w:r w:rsidRPr="00D368FA">
        <w:rPr>
          <w:color w:val="000000"/>
        </w:rPr>
        <w:t xml:space="preserve">), %7 konsantrasyonda ise hafif düzeyde </w:t>
      </w:r>
      <w:proofErr w:type="spellStart"/>
      <w:r w:rsidRPr="00D368FA">
        <w:rPr>
          <w:color w:val="000000"/>
        </w:rPr>
        <w:t>irritasyon</w:t>
      </w:r>
      <w:proofErr w:type="spellEnd"/>
      <w:r w:rsidRPr="00D368FA">
        <w:rPr>
          <w:color w:val="000000"/>
        </w:rPr>
        <w:t xml:space="preserve"> (PDII: 1,4) saptanmıştır. Ayrıca, bu çalışmada sistemik </w:t>
      </w:r>
      <w:proofErr w:type="spellStart"/>
      <w:r w:rsidRPr="00D368FA">
        <w:rPr>
          <w:color w:val="000000"/>
        </w:rPr>
        <w:t>toksisiteye</w:t>
      </w:r>
      <w:proofErr w:type="spellEnd"/>
      <w:r w:rsidRPr="00D368FA">
        <w:rPr>
          <w:color w:val="000000"/>
        </w:rPr>
        <w:t xml:space="preserve"> dair herhangi bir bulgu rapor edilmemiştir.</w:t>
      </w:r>
    </w:p>
    <w:p w14:paraId="57337D3A" w14:textId="7945BFE5" w:rsidR="001313C5" w:rsidRDefault="001313C5" w:rsidP="001313C5">
      <w:pPr>
        <w:pStyle w:val="NormalWeb"/>
        <w:spacing w:before="120" w:beforeAutospacing="0" w:after="120" w:afterAutospacing="0" w:line="276" w:lineRule="auto"/>
        <w:ind w:firstLine="708"/>
        <w:jc w:val="both"/>
        <w:rPr>
          <w:color w:val="000000"/>
        </w:rPr>
      </w:pPr>
      <w:r w:rsidRPr="00D368FA">
        <w:rPr>
          <w:color w:val="000000"/>
        </w:rPr>
        <w:t xml:space="preserve">Bu veriler, </w:t>
      </w:r>
      <w:proofErr w:type="spellStart"/>
      <w:r w:rsidRPr="00D368FA">
        <w:rPr>
          <w:color w:val="000000"/>
        </w:rPr>
        <w:t>palmaro</w:t>
      </w:r>
      <w:r w:rsidR="009B18FC">
        <w:rPr>
          <w:color w:val="000000"/>
        </w:rPr>
        <w:t>z</w:t>
      </w:r>
      <w:r w:rsidRPr="00D368FA">
        <w:rPr>
          <w:color w:val="000000"/>
        </w:rPr>
        <w:t>a</w:t>
      </w:r>
      <w:proofErr w:type="spellEnd"/>
      <w:r w:rsidRPr="00D368FA">
        <w:rPr>
          <w:color w:val="000000"/>
        </w:rPr>
        <w:t xml:space="preserve"> uçucu yağının düşük konsantrasyonlarda güvenli kullanım potansiyeline sahip olduğunu, ancak konsantrasyon arttıkça </w:t>
      </w:r>
      <w:proofErr w:type="spellStart"/>
      <w:r w:rsidRPr="00D368FA">
        <w:rPr>
          <w:color w:val="000000"/>
        </w:rPr>
        <w:t>dermal</w:t>
      </w:r>
      <w:proofErr w:type="spellEnd"/>
      <w:r w:rsidRPr="00D368FA">
        <w:rPr>
          <w:color w:val="000000"/>
        </w:rPr>
        <w:t xml:space="preserve"> </w:t>
      </w:r>
      <w:proofErr w:type="spellStart"/>
      <w:r w:rsidRPr="00D368FA">
        <w:rPr>
          <w:color w:val="000000"/>
        </w:rPr>
        <w:t>irritasyon</w:t>
      </w:r>
      <w:proofErr w:type="spellEnd"/>
      <w:r w:rsidRPr="00D368FA">
        <w:rPr>
          <w:color w:val="000000"/>
        </w:rPr>
        <w:t xml:space="preserve"> ve </w:t>
      </w:r>
      <w:proofErr w:type="spellStart"/>
      <w:r>
        <w:rPr>
          <w:color w:val="000000"/>
        </w:rPr>
        <w:t>duyarlanma</w:t>
      </w:r>
      <w:proofErr w:type="spellEnd"/>
      <w:r w:rsidRPr="00D368FA">
        <w:rPr>
          <w:color w:val="000000"/>
        </w:rPr>
        <w:t xml:space="preserve"> riskinin yükseldiğini ortaya koymaktadır. Bu nedenle kozmetik </w:t>
      </w:r>
      <w:proofErr w:type="spellStart"/>
      <w:r w:rsidRPr="00D368FA">
        <w:rPr>
          <w:color w:val="000000"/>
        </w:rPr>
        <w:t>formülasyonlarda</w:t>
      </w:r>
      <w:proofErr w:type="spellEnd"/>
      <w:r w:rsidRPr="00D368FA">
        <w:rPr>
          <w:color w:val="000000"/>
        </w:rPr>
        <w:t xml:space="preserve"> konsantrasyon kontrolü ve uygun etiketleme uygulamaları büyük önem taşımaktadır.</w:t>
      </w:r>
    </w:p>
    <w:p w14:paraId="65440164" w14:textId="0B17D1F7" w:rsidR="009F7F21" w:rsidRPr="00FC6DFA" w:rsidRDefault="009F7F21" w:rsidP="00FC6DFA">
      <w:pPr>
        <w:spacing w:before="480" w:after="120" w:line="276" w:lineRule="auto"/>
        <w:ind w:firstLine="708"/>
        <w:jc w:val="both"/>
        <w:rPr>
          <w:rFonts w:ascii="Times New Roman" w:hAnsi="Times New Roman" w:cs="Times New Roman"/>
          <w:b/>
          <w:bCs/>
          <w:sz w:val="24"/>
          <w:szCs w:val="24"/>
        </w:rPr>
      </w:pPr>
      <w:r w:rsidRPr="00FC6DFA">
        <w:rPr>
          <w:rFonts w:ascii="Times New Roman" w:hAnsi="Times New Roman" w:cs="Times New Roman"/>
          <w:b/>
          <w:bCs/>
          <w:sz w:val="24"/>
          <w:szCs w:val="24"/>
        </w:rPr>
        <w:t>9. Etkileşim Bilgileri</w:t>
      </w:r>
    </w:p>
    <w:p w14:paraId="7CF64C6A" w14:textId="016FA9A2" w:rsidR="009F7F21" w:rsidRPr="009F7F21" w:rsidRDefault="009F7F21" w:rsidP="009C516A">
      <w:pPr>
        <w:spacing w:line="276" w:lineRule="auto"/>
        <w:ind w:firstLine="708"/>
        <w:jc w:val="both"/>
        <w:rPr>
          <w:rFonts w:ascii="Times New Roman" w:hAnsi="Times New Roman" w:cs="Times New Roman"/>
          <w:sz w:val="24"/>
          <w:szCs w:val="24"/>
        </w:rPr>
      </w:pPr>
      <w:proofErr w:type="spellStart"/>
      <w:r w:rsidRPr="009F7F21">
        <w:rPr>
          <w:rFonts w:ascii="Times New Roman" w:hAnsi="Times New Roman" w:cs="Times New Roman"/>
          <w:sz w:val="24"/>
          <w:szCs w:val="24"/>
        </w:rPr>
        <w:t>Geraniol</w:t>
      </w:r>
      <w:proofErr w:type="spellEnd"/>
      <w:r w:rsidRPr="009F7F21">
        <w:rPr>
          <w:rFonts w:ascii="Times New Roman" w:hAnsi="Times New Roman" w:cs="Times New Roman"/>
          <w:sz w:val="24"/>
          <w:szCs w:val="24"/>
        </w:rPr>
        <w:t xml:space="preserve">, karaciğerde faz I metabolizma süreçlerine uğrayan bir </w:t>
      </w:r>
      <w:proofErr w:type="spellStart"/>
      <w:r w:rsidRPr="009F7F21">
        <w:rPr>
          <w:rFonts w:ascii="Times New Roman" w:hAnsi="Times New Roman" w:cs="Times New Roman"/>
          <w:sz w:val="24"/>
          <w:szCs w:val="24"/>
        </w:rPr>
        <w:t>monoterpen</w:t>
      </w:r>
      <w:proofErr w:type="spellEnd"/>
      <w:r w:rsidRPr="009F7F21">
        <w:rPr>
          <w:rFonts w:ascii="Times New Roman" w:hAnsi="Times New Roman" w:cs="Times New Roman"/>
          <w:sz w:val="24"/>
          <w:szCs w:val="24"/>
        </w:rPr>
        <w:t xml:space="preserve"> olup, </w:t>
      </w:r>
      <w:proofErr w:type="spellStart"/>
      <w:r w:rsidRPr="009F7F21">
        <w:rPr>
          <w:rFonts w:ascii="Times New Roman" w:hAnsi="Times New Roman" w:cs="Times New Roman"/>
          <w:sz w:val="24"/>
          <w:szCs w:val="24"/>
        </w:rPr>
        <w:t>biyotransformasyonunda</w:t>
      </w:r>
      <w:proofErr w:type="spellEnd"/>
      <w:r w:rsidRPr="009F7F21">
        <w:rPr>
          <w:rFonts w:ascii="Times New Roman" w:hAnsi="Times New Roman" w:cs="Times New Roman"/>
          <w:sz w:val="24"/>
          <w:szCs w:val="24"/>
        </w:rPr>
        <w:t xml:space="preserve"> </w:t>
      </w:r>
      <w:proofErr w:type="spellStart"/>
      <w:r w:rsidRPr="009F7F21">
        <w:rPr>
          <w:rFonts w:ascii="Times New Roman" w:hAnsi="Times New Roman" w:cs="Times New Roman"/>
          <w:sz w:val="24"/>
          <w:szCs w:val="24"/>
        </w:rPr>
        <w:t>sitokrom</w:t>
      </w:r>
      <w:proofErr w:type="spellEnd"/>
      <w:r w:rsidRPr="009F7F21">
        <w:rPr>
          <w:rFonts w:ascii="Times New Roman" w:hAnsi="Times New Roman" w:cs="Times New Roman"/>
          <w:sz w:val="24"/>
          <w:szCs w:val="24"/>
        </w:rPr>
        <w:t xml:space="preserve"> P450 (CYP) enzim sistemi rol oynamaktadır. Deneysel</w:t>
      </w:r>
      <w:r>
        <w:rPr>
          <w:rFonts w:ascii="Times New Roman" w:hAnsi="Times New Roman" w:cs="Times New Roman"/>
          <w:sz w:val="24"/>
          <w:szCs w:val="24"/>
        </w:rPr>
        <w:t xml:space="preserve"> </w:t>
      </w:r>
      <w:r>
        <w:rPr>
          <w:rFonts w:ascii="Times New Roman" w:hAnsi="Times New Roman" w:cs="Times New Roman"/>
          <w:sz w:val="24"/>
          <w:szCs w:val="24"/>
        </w:rPr>
        <w:lastRenderedPageBreak/>
        <w:t>ç</w:t>
      </w:r>
      <w:r w:rsidRPr="009F7F21">
        <w:rPr>
          <w:rFonts w:ascii="Times New Roman" w:hAnsi="Times New Roman" w:cs="Times New Roman"/>
          <w:sz w:val="24"/>
          <w:szCs w:val="24"/>
        </w:rPr>
        <w:t xml:space="preserve">alışmalar, </w:t>
      </w:r>
      <w:proofErr w:type="spellStart"/>
      <w:r w:rsidRPr="009F7F21">
        <w:rPr>
          <w:rFonts w:ascii="Times New Roman" w:hAnsi="Times New Roman" w:cs="Times New Roman"/>
          <w:sz w:val="24"/>
          <w:szCs w:val="24"/>
        </w:rPr>
        <w:t>geraniolün</w:t>
      </w:r>
      <w:proofErr w:type="spellEnd"/>
      <w:r w:rsidRPr="009F7F21">
        <w:rPr>
          <w:rFonts w:ascii="Times New Roman" w:hAnsi="Times New Roman" w:cs="Times New Roman"/>
          <w:sz w:val="24"/>
          <w:szCs w:val="24"/>
        </w:rPr>
        <w:t xml:space="preserve"> özellikle CYP3A1/2, CYP2E1 ve CYP1A2 </w:t>
      </w:r>
      <w:proofErr w:type="spellStart"/>
      <w:r w:rsidRPr="009F7F21">
        <w:rPr>
          <w:rFonts w:ascii="Times New Roman" w:hAnsi="Times New Roman" w:cs="Times New Roman"/>
          <w:sz w:val="24"/>
          <w:szCs w:val="24"/>
        </w:rPr>
        <w:t>izoenzimlerinin</w:t>
      </w:r>
      <w:proofErr w:type="spellEnd"/>
      <w:r w:rsidRPr="009F7F21">
        <w:rPr>
          <w:rFonts w:ascii="Times New Roman" w:hAnsi="Times New Roman" w:cs="Times New Roman"/>
          <w:sz w:val="24"/>
          <w:szCs w:val="24"/>
        </w:rPr>
        <w:t xml:space="preserve"> aktivitesini modüle edebildiğini göstermektedir (</w:t>
      </w:r>
      <w:proofErr w:type="spellStart"/>
      <w:r w:rsidRPr="009F7F21">
        <w:rPr>
          <w:rFonts w:ascii="Times New Roman" w:hAnsi="Times New Roman" w:cs="Times New Roman"/>
          <w:sz w:val="24"/>
          <w:szCs w:val="24"/>
        </w:rPr>
        <w:t>Pavan</w:t>
      </w:r>
      <w:proofErr w:type="spellEnd"/>
      <w:r w:rsidRPr="009F7F21">
        <w:rPr>
          <w:rFonts w:ascii="Times New Roman" w:hAnsi="Times New Roman" w:cs="Times New Roman"/>
          <w:sz w:val="24"/>
          <w:szCs w:val="24"/>
        </w:rPr>
        <w:t xml:space="preserve"> ve ark., 2018).</w:t>
      </w:r>
    </w:p>
    <w:p w14:paraId="65AFDDDD" w14:textId="77777777" w:rsidR="009F7F21" w:rsidRPr="009F7F21" w:rsidRDefault="009F7F21" w:rsidP="009C516A">
      <w:pPr>
        <w:spacing w:line="276" w:lineRule="auto"/>
        <w:ind w:firstLine="708"/>
        <w:jc w:val="both"/>
        <w:rPr>
          <w:rFonts w:ascii="Times New Roman" w:hAnsi="Times New Roman" w:cs="Times New Roman"/>
          <w:sz w:val="24"/>
          <w:szCs w:val="24"/>
        </w:rPr>
      </w:pPr>
      <w:r w:rsidRPr="009F7F21">
        <w:rPr>
          <w:rFonts w:ascii="Times New Roman" w:hAnsi="Times New Roman" w:cs="Times New Roman"/>
          <w:sz w:val="24"/>
          <w:szCs w:val="24"/>
        </w:rPr>
        <w:t>28 gün süreyle 120 mg/kg dozda uygulanan çalışmalarda, bu enzimlerin aktivitesinde hafif düzeyde azalma (</w:t>
      </w:r>
      <w:proofErr w:type="spellStart"/>
      <w:r w:rsidRPr="009F7F21">
        <w:rPr>
          <w:rFonts w:ascii="Times New Roman" w:hAnsi="Times New Roman" w:cs="Times New Roman"/>
          <w:sz w:val="24"/>
          <w:szCs w:val="24"/>
        </w:rPr>
        <w:t>down</w:t>
      </w:r>
      <w:proofErr w:type="spellEnd"/>
      <w:r w:rsidRPr="009F7F21">
        <w:rPr>
          <w:rFonts w:ascii="Times New Roman" w:hAnsi="Times New Roman" w:cs="Times New Roman"/>
          <w:sz w:val="24"/>
          <w:szCs w:val="24"/>
        </w:rPr>
        <w:t>-regülasyon) gözlenmiştir. Bununla birlikte, NADPH-</w:t>
      </w:r>
      <w:proofErr w:type="spellStart"/>
      <w:r w:rsidRPr="009F7F21">
        <w:rPr>
          <w:rFonts w:ascii="Times New Roman" w:hAnsi="Times New Roman" w:cs="Times New Roman"/>
          <w:sz w:val="24"/>
          <w:szCs w:val="24"/>
        </w:rPr>
        <w:t>sitokrom</w:t>
      </w:r>
      <w:proofErr w:type="spellEnd"/>
      <w:r w:rsidRPr="009F7F21">
        <w:rPr>
          <w:rFonts w:ascii="Times New Roman" w:hAnsi="Times New Roman" w:cs="Times New Roman"/>
          <w:sz w:val="24"/>
          <w:szCs w:val="24"/>
        </w:rPr>
        <w:t xml:space="preserve"> P450 </w:t>
      </w:r>
      <w:proofErr w:type="spellStart"/>
      <w:r w:rsidRPr="009F7F21">
        <w:rPr>
          <w:rFonts w:ascii="Times New Roman" w:hAnsi="Times New Roman" w:cs="Times New Roman"/>
          <w:sz w:val="24"/>
          <w:szCs w:val="24"/>
        </w:rPr>
        <w:t>redüktaz</w:t>
      </w:r>
      <w:proofErr w:type="spellEnd"/>
      <w:r w:rsidRPr="009F7F21">
        <w:rPr>
          <w:rFonts w:ascii="Times New Roman" w:hAnsi="Times New Roman" w:cs="Times New Roman"/>
          <w:sz w:val="24"/>
          <w:szCs w:val="24"/>
        </w:rPr>
        <w:t xml:space="preserve"> aktivitesinde de sınırlı bir düşüş bildirilmiştir. Ancak bu değişiklikler belirgin </w:t>
      </w:r>
      <w:proofErr w:type="spellStart"/>
      <w:r w:rsidRPr="009F7F21">
        <w:rPr>
          <w:rFonts w:ascii="Times New Roman" w:hAnsi="Times New Roman" w:cs="Times New Roman"/>
          <w:sz w:val="24"/>
          <w:szCs w:val="24"/>
        </w:rPr>
        <w:t>hepatotoksisite</w:t>
      </w:r>
      <w:proofErr w:type="spellEnd"/>
      <w:r w:rsidRPr="009F7F21">
        <w:rPr>
          <w:rFonts w:ascii="Times New Roman" w:hAnsi="Times New Roman" w:cs="Times New Roman"/>
          <w:sz w:val="24"/>
          <w:szCs w:val="24"/>
        </w:rPr>
        <w:t xml:space="preserve"> ile ilişkili bulunmamıştır (</w:t>
      </w:r>
      <w:proofErr w:type="spellStart"/>
      <w:r w:rsidRPr="009F7F21">
        <w:rPr>
          <w:rFonts w:ascii="Times New Roman" w:hAnsi="Times New Roman" w:cs="Times New Roman"/>
          <w:sz w:val="24"/>
          <w:szCs w:val="24"/>
        </w:rPr>
        <w:t>Pavan</w:t>
      </w:r>
      <w:proofErr w:type="spellEnd"/>
      <w:r w:rsidRPr="009F7F21">
        <w:rPr>
          <w:rFonts w:ascii="Times New Roman" w:hAnsi="Times New Roman" w:cs="Times New Roman"/>
          <w:sz w:val="24"/>
          <w:szCs w:val="24"/>
        </w:rPr>
        <w:t xml:space="preserve"> ve ark., 2018).</w:t>
      </w:r>
    </w:p>
    <w:p w14:paraId="77D26574" w14:textId="33CB6FAA" w:rsidR="00A874CD" w:rsidRDefault="009F7F21" w:rsidP="009C516A">
      <w:pPr>
        <w:spacing w:line="276" w:lineRule="auto"/>
        <w:ind w:firstLine="708"/>
        <w:jc w:val="both"/>
        <w:rPr>
          <w:rFonts w:ascii="Times New Roman" w:hAnsi="Times New Roman" w:cs="Times New Roman"/>
          <w:sz w:val="24"/>
          <w:szCs w:val="24"/>
        </w:rPr>
      </w:pPr>
      <w:r w:rsidRPr="009F7F21">
        <w:rPr>
          <w:rFonts w:ascii="Times New Roman" w:hAnsi="Times New Roman" w:cs="Times New Roman"/>
          <w:sz w:val="24"/>
          <w:szCs w:val="24"/>
        </w:rPr>
        <w:t xml:space="preserve">Genel olarak değerlendirildiğinde, </w:t>
      </w:r>
      <w:proofErr w:type="spellStart"/>
      <w:r w:rsidRPr="009F7F21">
        <w:rPr>
          <w:rFonts w:ascii="Times New Roman" w:hAnsi="Times New Roman" w:cs="Times New Roman"/>
          <w:sz w:val="24"/>
          <w:szCs w:val="24"/>
        </w:rPr>
        <w:t>geraniolün</w:t>
      </w:r>
      <w:proofErr w:type="spellEnd"/>
      <w:r w:rsidRPr="009F7F21">
        <w:rPr>
          <w:rFonts w:ascii="Times New Roman" w:hAnsi="Times New Roman" w:cs="Times New Roman"/>
          <w:sz w:val="24"/>
          <w:szCs w:val="24"/>
        </w:rPr>
        <w:t xml:space="preserve"> CYP450 enzim sistemi üzerindeki etkisinin hafif ve sınırlı olduğu kabul edilmektedir. Bu nedenle, teorik olarak CYP aracılı ilaç metabolizmasını etkileyebileceği öngörülmekle birlikte, mevcut veriler bu etkinin düşük düzeyde olduğunu ve klinik açıdan anlamlı bir ilaç-etkileşim riskinin henüz ortaya konulmadığını göstermektedir.</w:t>
      </w:r>
    </w:p>
    <w:p w14:paraId="77B4A832" w14:textId="77777777" w:rsidR="009F7F21" w:rsidRPr="009F7F21" w:rsidRDefault="009F7F21" w:rsidP="00FC6DFA">
      <w:pPr>
        <w:pStyle w:val="NormalWeb"/>
        <w:spacing w:before="480" w:beforeAutospacing="0" w:after="120" w:afterAutospacing="0" w:line="276" w:lineRule="auto"/>
        <w:ind w:firstLine="709"/>
        <w:jc w:val="both"/>
        <w:rPr>
          <w:b/>
          <w:bCs/>
          <w:color w:val="000000"/>
        </w:rPr>
      </w:pPr>
      <w:r w:rsidRPr="009F7F21">
        <w:rPr>
          <w:b/>
          <w:bCs/>
          <w:color w:val="000000"/>
        </w:rPr>
        <w:t>11. Kısıtlamalar ve Uyarılar</w:t>
      </w:r>
    </w:p>
    <w:p w14:paraId="68A58458" w14:textId="06D5310E" w:rsidR="009F7F21" w:rsidRPr="009F7F21" w:rsidRDefault="009F7F21" w:rsidP="009C516A">
      <w:pPr>
        <w:pStyle w:val="NormalWeb"/>
        <w:spacing w:before="120" w:beforeAutospacing="0" w:after="120" w:afterAutospacing="0" w:line="276" w:lineRule="auto"/>
        <w:ind w:firstLine="709"/>
        <w:jc w:val="both"/>
        <w:rPr>
          <w:color w:val="000000"/>
        </w:rPr>
      </w:pPr>
      <w:proofErr w:type="spellStart"/>
      <w:r w:rsidRPr="009F7F21">
        <w:rPr>
          <w:i/>
          <w:iCs/>
          <w:color w:val="000000"/>
        </w:rPr>
        <w:t>Cymbopogon</w:t>
      </w:r>
      <w:proofErr w:type="spellEnd"/>
      <w:r w:rsidRPr="009F7F21">
        <w:rPr>
          <w:i/>
          <w:iCs/>
          <w:color w:val="000000"/>
        </w:rPr>
        <w:t xml:space="preserve"> martini</w:t>
      </w:r>
      <w:r w:rsidRPr="009F7F21">
        <w:rPr>
          <w:color w:val="000000"/>
        </w:rPr>
        <w:t xml:space="preserve"> uçucu yağı, yüksek oranda </w:t>
      </w:r>
      <w:proofErr w:type="spellStart"/>
      <w:r w:rsidRPr="009F7F21">
        <w:rPr>
          <w:color w:val="000000"/>
        </w:rPr>
        <w:t>geraniol</w:t>
      </w:r>
      <w:proofErr w:type="spellEnd"/>
      <w:r w:rsidRPr="009F7F21">
        <w:rPr>
          <w:color w:val="000000"/>
        </w:rPr>
        <w:t xml:space="preserve"> içeriği nedeniyle </w:t>
      </w:r>
      <w:proofErr w:type="spellStart"/>
      <w:r w:rsidRPr="009F7F21">
        <w:rPr>
          <w:color w:val="000000"/>
        </w:rPr>
        <w:t>dermal</w:t>
      </w:r>
      <w:proofErr w:type="spellEnd"/>
      <w:r w:rsidRPr="009F7F21">
        <w:rPr>
          <w:color w:val="000000"/>
        </w:rPr>
        <w:t xml:space="preserve"> uygulamalarda </w:t>
      </w:r>
      <w:proofErr w:type="spellStart"/>
      <w:r w:rsidR="001313C5">
        <w:rPr>
          <w:color w:val="000000"/>
        </w:rPr>
        <w:t>duyarlanma</w:t>
      </w:r>
      <w:proofErr w:type="spellEnd"/>
      <w:r w:rsidRPr="009F7F21">
        <w:rPr>
          <w:color w:val="000000"/>
        </w:rPr>
        <w:t xml:space="preserve"> ve </w:t>
      </w:r>
      <w:proofErr w:type="spellStart"/>
      <w:r w:rsidRPr="009F7F21">
        <w:rPr>
          <w:color w:val="000000"/>
        </w:rPr>
        <w:t>irritasyon</w:t>
      </w:r>
      <w:proofErr w:type="spellEnd"/>
      <w:r w:rsidRPr="009F7F21">
        <w:rPr>
          <w:color w:val="000000"/>
        </w:rPr>
        <w:t xml:space="preserve"> potansiyeli taşıyan bir bileşik</w:t>
      </w:r>
      <w:r w:rsidR="004D1731">
        <w:rPr>
          <w:color w:val="000000"/>
        </w:rPr>
        <w:t xml:space="preserve">tir. Bu nedenle seyreltilmeden </w:t>
      </w:r>
      <w:r w:rsidRPr="009F7F21">
        <w:rPr>
          <w:color w:val="000000"/>
        </w:rPr>
        <w:t xml:space="preserve">doğrudan cilt üzerine uygulanması önerilmez. Özellikle hassas cilt tiplerinde </w:t>
      </w:r>
      <w:proofErr w:type="spellStart"/>
      <w:r w:rsidRPr="009F7F21">
        <w:rPr>
          <w:color w:val="000000"/>
        </w:rPr>
        <w:t>eritem</w:t>
      </w:r>
      <w:proofErr w:type="spellEnd"/>
      <w:r w:rsidRPr="009F7F21">
        <w:rPr>
          <w:color w:val="000000"/>
        </w:rPr>
        <w:t xml:space="preserve">, kaşıntı ve </w:t>
      </w:r>
      <w:proofErr w:type="spellStart"/>
      <w:r w:rsidRPr="009F7F21">
        <w:rPr>
          <w:color w:val="000000"/>
        </w:rPr>
        <w:t>kontakt</w:t>
      </w:r>
      <w:proofErr w:type="spellEnd"/>
      <w:r w:rsidRPr="009F7F21">
        <w:rPr>
          <w:color w:val="000000"/>
        </w:rPr>
        <w:t xml:space="preserve"> dermatit gelişme riski bulunmaktadır. Bu bağlamda, ilk kullanım öncesinde </w:t>
      </w:r>
      <w:proofErr w:type="spellStart"/>
      <w:r w:rsidRPr="009F7F21">
        <w:rPr>
          <w:color w:val="000000"/>
        </w:rPr>
        <w:t>patch</w:t>
      </w:r>
      <w:proofErr w:type="spellEnd"/>
      <w:r w:rsidRPr="009F7F21">
        <w:rPr>
          <w:color w:val="000000"/>
        </w:rPr>
        <w:t xml:space="preserve"> test yapılması ve </w:t>
      </w:r>
      <w:proofErr w:type="spellStart"/>
      <w:r w:rsidRPr="009F7F21">
        <w:rPr>
          <w:color w:val="000000"/>
        </w:rPr>
        <w:t>formülasyonlarda</w:t>
      </w:r>
      <w:proofErr w:type="spellEnd"/>
      <w:r w:rsidRPr="009F7F21">
        <w:rPr>
          <w:color w:val="000000"/>
        </w:rPr>
        <w:t xml:space="preserve"> uygun </w:t>
      </w:r>
      <w:proofErr w:type="spellStart"/>
      <w:r w:rsidRPr="009F7F21">
        <w:rPr>
          <w:color w:val="000000"/>
        </w:rPr>
        <w:t>dilüsyon</w:t>
      </w:r>
      <w:proofErr w:type="spellEnd"/>
      <w:r w:rsidRPr="009F7F21">
        <w:rPr>
          <w:color w:val="000000"/>
        </w:rPr>
        <w:t xml:space="preserve"> oranlarının tercih edilmesi gereklidir.</w:t>
      </w:r>
    </w:p>
    <w:p w14:paraId="30D3071A" w14:textId="77777777" w:rsidR="009F7F21" w:rsidRPr="009F7F21" w:rsidRDefault="009F7F21" w:rsidP="009C516A">
      <w:pPr>
        <w:pStyle w:val="NormalWeb"/>
        <w:spacing w:before="120" w:beforeAutospacing="0" w:after="120" w:afterAutospacing="0" w:line="276" w:lineRule="auto"/>
        <w:ind w:firstLine="709"/>
        <w:jc w:val="both"/>
        <w:rPr>
          <w:color w:val="000000"/>
        </w:rPr>
      </w:pPr>
      <w:r w:rsidRPr="009F7F21">
        <w:rPr>
          <w:color w:val="000000"/>
        </w:rPr>
        <w:t xml:space="preserve">Mevcut bilimsel değerlendirmeler, </w:t>
      </w:r>
      <w:proofErr w:type="spellStart"/>
      <w:r w:rsidRPr="009F7F21">
        <w:rPr>
          <w:color w:val="000000"/>
        </w:rPr>
        <w:t>geraniolün</w:t>
      </w:r>
      <w:proofErr w:type="spellEnd"/>
      <w:r w:rsidRPr="009F7F21">
        <w:rPr>
          <w:color w:val="000000"/>
        </w:rPr>
        <w:t xml:space="preserve"> Avrupa Birliği kozmetik mevzuatı kapsamında etiketlenmesi zorunlu alerjenler arasında yer aldığını ve bu nedenle ürün etiketlerinde beyan edilmesi gerektiğini göstermektedir (</w:t>
      </w:r>
      <w:proofErr w:type="spellStart"/>
      <w:r w:rsidRPr="009F7F21">
        <w:rPr>
          <w:color w:val="000000"/>
        </w:rPr>
        <w:t>European</w:t>
      </w:r>
      <w:proofErr w:type="spellEnd"/>
      <w:r w:rsidRPr="009F7F21">
        <w:rPr>
          <w:color w:val="000000"/>
        </w:rPr>
        <w:t xml:space="preserve"> </w:t>
      </w:r>
      <w:proofErr w:type="spellStart"/>
      <w:r w:rsidRPr="009F7F21">
        <w:rPr>
          <w:color w:val="000000"/>
        </w:rPr>
        <w:t>Commission</w:t>
      </w:r>
      <w:proofErr w:type="spellEnd"/>
      <w:r w:rsidRPr="009F7F21">
        <w:rPr>
          <w:color w:val="000000"/>
        </w:rPr>
        <w:t>, SCCS).</w:t>
      </w:r>
    </w:p>
    <w:p w14:paraId="2AC42FD6" w14:textId="0484A9DD" w:rsidR="009F7F21" w:rsidRPr="009F7F21" w:rsidRDefault="009F7F21" w:rsidP="009C516A">
      <w:pPr>
        <w:pStyle w:val="NormalWeb"/>
        <w:spacing w:before="120" w:beforeAutospacing="0" w:after="120" w:afterAutospacing="0" w:line="276" w:lineRule="auto"/>
        <w:ind w:firstLine="709"/>
        <w:jc w:val="both"/>
        <w:rPr>
          <w:color w:val="000000"/>
        </w:rPr>
      </w:pPr>
      <w:r w:rsidRPr="009F7F21">
        <w:rPr>
          <w:color w:val="000000"/>
        </w:rPr>
        <w:t xml:space="preserve">Hassas popülasyonlar açısından değerlendirildiğinde, </w:t>
      </w:r>
      <w:proofErr w:type="spellStart"/>
      <w:r w:rsidRPr="009F7F21">
        <w:rPr>
          <w:color w:val="000000"/>
        </w:rPr>
        <w:t>palmaro</w:t>
      </w:r>
      <w:r w:rsidR="00691598">
        <w:rPr>
          <w:color w:val="000000"/>
        </w:rPr>
        <w:t>z</w:t>
      </w:r>
      <w:r w:rsidRPr="009F7F21">
        <w:rPr>
          <w:color w:val="000000"/>
        </w:rPr>
        <w:t>a</w:t>
      </w:r>
      <w:proofErr w:type="spellEnd"/>
      <w:r w:rsidRPr="009F7F21">
        <w:rPr>
          <w:color w:val="000000"/>
        </w:rPr>
        <w:t xml:space="preserve"> yağı için gebelik ve emzirme döneminde güvenli kullanımına ilişkin yeterli veri bulunmamaktadır. Bu nedenle bu gruplarda kullanımı önerilmemektedir. Benzer şekilde, çocuklarda cilt geçirgenliğinin daha yüksek olması nedeniyle sistemik maruz</w:t>
      </w:r>
      <w:r w:rsidR="006F709C">
        <w:rPr>
          <w:color w:val="000000"/>
        </w:rPr>
        <w:t xml:space="preserve"> kalma </w:t>
      </w:r>
      <w:r w:rsidRPr="009F7F21">
        <w:rPr>
          <w:color w:val="000000"/>
        </w:rPr>
        <w:t>riski artabileceğinden dikkatl</w:t>
      </w:r>
      <w:r w:rsidR="001313C5">
        <w:rPr>
          <w:color w:val="000000"/>
        </w:rPr>
        <w:t xml:space="preserve">i kullanım gereklidir. </w:t>
      </w:r>
      <w:r w:rsidR="00691598">
        <w:rPr>
          <w:color w:val="000000"/>
        </w:rPr>
        <w:t>Koku bileşiklerine karşı</w:t>
      </w:r>
      <w:r w:rsidRPr="009F7F21">
        <w:rPr>
          <w:color w:val="000000"/>
        </w:rPr>
        <w:t xml:space="preserve"> alerji öyküsü bulunan bireylerde ise alerjik reaksiyon gelişme olasılığı daha yüksek olup, bu kişilerde kullanım kısıtlanmalıdır.</w:t>
      </w:r>
    </w:p>
    <w:p w14:paraId="436BF1D8" w14:textId="1AC38923" w:rsidR="009F7F21" w:rsidRPr="009F7F21" w:rsidRDefault="009F7F21" w:rsidP="009C516A">
      <w:pPr>
        <w:pStyle w:val="NormalWeb"/>
        <w:spacing w:before="120" w:beforeAutospacing="0" w:after="120" w:afterAutospacing="0" w:line="276" w:lineRule="auto"/>
        <w:ind w:firstLine="709"/>
        <w:jc w:val="both"/>
        <w:rPr>
          <w:color w:val="000000"/>
        </w:rPr>
      </w:pPr>
      <w:r w:rsidRPr="009F7F21">
        <w:rPr>
          <w:color w:val="000000"/>
        </w:rPr>
        <w:t>Literatürde,</w:t>
      </w:r>
      <w:r w:rsidR="00AB4FC5">
        <w:rPr>
          <w:color w:val="000000"/>
        </w:rPr>
        <w:t xml:space="preserve"> yüksek oranda </w:t>
      </w:r>
      <w:proofErr w:type="spellStart"/>
      <w:r w:rsidR="00AB4FC5">
        <w:rPr>
          <w:color w:val="000000"/>
        </w:rPr>
        <w:t>geraniol</w:t>
      </w:r>
      <w:proofErr w:type="spellEnd"/>
      <w:r w:rsidR="00AB4FC5">
        <w:rPr>
          <w:color w:val="000000"/>
        </w:rPr>
        <w:t xml:space="preserve"> içeren </w:t>
      </w:r>
      <w:proofErr w:type="spellStart"/>
      <w:r w:rsidR="00046F65">
        <w:rPr>
          <w:color w:val="000000"/>
        </w:rPr>
        <w:t>palmaroza</w:t>
      </w:r>
      <w:proofErr w:type="spellEnd"/>
      <w:r w:rsidRPr="009F7F21">
        <w:rPr>
          <w:color w:val="000000"/>
        </w:rPr>
        <w:t xml:space="preserve"> yağının yanlışlıkla oral alımına bağlı ciddi </w:t>
      </w:r>
      <w:proofErr w:type="spellStart"/>
      <w:r w:rsidRPr="009F7F21">
        <w:rPr>
          <w:color w:val="000000"/>
        </w:rPr>
        <w:t>toksisite</w:t>
      </w:r>
      <w:proofErr w:type="spellEnd"/>
      <w:r w:rsidRPr="009F7F21">
        <w:rPr>
          <w:color w:val="000000"/>
        </w:rPr>
        <w:t xml:space="preserve"> ve ölüm vakası bildirilmiştir (</w:t>
      </w:r>
      <w:proofErr w:type="spellStart"/>
      <w:r w:rsidRPr="009F7F21">
        <w:rPr>
          <w:color w:val="000000"/>
        </w:rPr>
        <w:t>Temple</w:t>
      </w:r>
      <w:proofErr w:type="spellEnd"/>
      <w:r w:rsidRPr="009F7F21">
        <w:rPr>
          <w:color w:val="000000"/>
        </w:rPr>
        <w:t xml:space="preserve"> ve ark., 1991). Bu tür veriler, uçucu yağların özellikle çocuklarda oral kullanımının riskli olabileceğini göstermektedir. Ancak çocuklarda uçucu yağların oral kullanımına ilişkin sistematik güvenlilik verileri sınırlıdır.</w:t>
      </w:r>
    </w:p>
    <w:p w14:paraId="1F29C1CA" w14:textId="77777777" w:rsidR="009F7F21" w:rsidRPr="009F7F21" w:rsidRDefault="009F7F21" w:rsidP="009C516A">
      <w:pPr>
        <w:pStyle w:val="NormalWeb"/>
        <w:spacing w:before="120" w:beforeAutospacing="0" w:after="120" w:afterAutospacing="0" w:line="276" w:lineRule="auto"/>
        <w:ind w:firstLine="709"/>
        <w:jc w:val="both"/>
        <w:rPr>
          <w:color w:val="000000"/>
        </w:rPr>
      </w:pPr>
      <w:r w:rsidRPr="009F7F21">
        <w:rPr>
          <w:color w:val="000000"/>
        </w:rPr>
        <w:t xml:space="preserve">Göz ve </w:t>
      </w:r>
      <w:proofErr w:type="spellStart"/>
      <w:r w:rsidRPr="009F7F21">
        <w:rPr>
          <w:color w:val="000000"/>
        </w:rPr>
        <w:t>mukozal</w:t>
      </w:r>
      <w:proofErr w:type="spellEnd"/>
      <w:r w:rsidRPr="009F7F21">
        <w:rPr>
          <w:color w:val="000000"/>
        </w:rPr>
        <w:t xml:space="preserve"> temas durumunda </w:t>
      </w:r>
      <w:proofErr w:type="spellStart"/>
      <w:r w:rsidRPr="009F7F21">
        <w:rPr>
          <w:color w:val="000000"/>
        </w:rPr>
        <w:t>irritasyon</w:t>
      </w:r>
      <w:proofErr w:type="spellEnd"/>
      <w:r w:rsidRPr="009F7F21">
        <w:rPr>
          <w:color w:val="000000"/>
        </w:rPr>
        <w:t xml:space="preserve"> gelişebileceği bilinmektedir. Bu nedenle göz çevresi uygulamalarından ve </w:t>
      </w:r>
      <w:proofErr w:type="spellStart"/>
      <w:r w:rsidRPr="009F7F21">
        <w:rPr>
          <w:color w:val="000000"/>
        </w:rPr>
        <w:t>mukozal</w:t>
      </w:r>
      <w:proofErr w:type="spellEnd"/>
      <w:r w:rsidRPr="009F7F21">
        <w:rPr>
          <w:color w:val="000000"/>
        </w:rPr>
        <w:t xml:space="preserve"> yüzeylerle temasından kaçınılmalıdır. Yanlışlıkla temas halinde bol su ile yıkama önerilmektedir.</w:t>
      </w:r>
    </w:p>
    <w:p w14:paraId="1FFC1F74" w14:textId="5931FAD6" w:rsidR="009F7F21" w:rsidRDefault="009F7F21" w:rsidP="009C516A">
      <w:pPr>
        <w:pStyle w:val="NormalWeb"/>
        <w:spacing w:before="120" w:beforeAutospacing="0" w:after="120" w:afterAutospacing="0" w:line="276" w:lineRule="auto"/>
        <w:ind w:firstLine="720"/>
        <w:jc w:val="both"/>
        <w:rPr>
          <w:color w:val="000000"/>
        </w:rPr>
      </w:pPr>
      <w:r w:rsidRPr="009F7F21">
        <w:rPr>
          <w:color w:val="000000"/>
        </w:rPr>
        <w:lastRenderedPageBreak/>
        <w:t xml:space="preserve">Sistemik </w:t>
      </w:r>
      <w:proofErr w:type="spellStart"/>
      <w:r w:rsidRPr="009F7F21">
        <w:rPr>
          <w:color w:val="000000"/>
        </w:rPr>
        <w:t>toksisite</w:t>
      </w:r>
      <w:proofErr w:type="spellEnd"/>
      <w:r w:rsidRPr="009F7F21">
        <w:rPr>
          <w:color w:val="000000"/>
        </w:rPr>
        <w:t xml:space="preserve"> açısından mevcut veriler </w:t>
      </w:r>
      <w:proofErr w:type="spellStart"/>
      <w:r w:rsidRPr="009F7F21">
        <w:rPr>
          <w:color w:val="000000"/>
        </w:rPr>
        <w:t>palmaro</w:t>
      </w:r>
      <w:r w:rsidR="00691598">
        <w:rPr>
          <w:color w:val="000000"/>
        </w:rPr>
        <w:t>z</w:t>
      </w:r>
      <w:r w:rsidRPr="009F7F21">
        <w:rPr>
          <w:color w:val="000000"/>
        </w:rPr>
        <w:t>a</w:t>
      </w:r>
      <w:proofErr w:type="spellEnd"/>
      <w:r w:rsidRPr="009F7F21">
        <w:rPr>
          <w:color w:val="000000"/>
        </w:rPr>
        <w:t xml:space="preserve"> yağının genel olarak düşük </w:t>
      </w:r>
      <w:proofErr w:type="spellStart"/>
      <w:r w:rsidRPr="009F7F21">
        <w:rPr>
          <w:color w:val="000000"/>
        </w:rPr>
        <w:t>toksisite</w:t>
      </w:r>
      <w:proofErr w:type="spellEnd"/>
      <w:r w:rsidRPr="009F7F21">
        <w:rPr>
          <w:color w:val="000000"/>
        </w:rPr>
        <w:t xml:space="preserve"> profiline sahip olduğunu göstermekle birlikte, özellikle yüksek doz oral alımına ilişkin yeterli güven</w:t>
      </w:r>
      <w:r w:rsidR="00336BE2">
        <w:rPr>
          <w:color w:val="000000"/>
        </w:rPr>
        <w:t>ilir</w:t>
      </w:r>
      <w:r w:rsidRPr="009F7F21">
        <w:rPr>
          <w:color w:val="000000"/>
        </w:rPr>
        <w:t xml:space="preserve">lik verisi bulunmamaktadır. Bu nedenle </w:t>
      </w:r>
      <w:proofErr w:type="spellStart"/>
      <w:r w:rsidRPr="009F7F21">
        <w:rPr>
          <w:color w:val="000000"/>
        </w:rPr>
        <w:t>terapötik</w:t>
      </w:r>
      <w:proofErr w:type="spellEnd"/>
      <w:r w:rsidRPr="009F7F21">
        <w:rPr>
          <w:color w:val="000000"/>
        </w:rPr>
        <w:t xml:space="preserve"> dozların üzerinde kullanım önerilmemekte ve gıda takviyesi olarak kullanımında dikkatli olunması gerekmektedir (</w:t>
      </w:r>
      <w:proofErr w:type="spellStart"/>
      <w:r w:rsidRPr="009F7F21">
        <w:rPr>
          <w:color w:val="000000"/>
        </w:rPr>
        <w:t>Pavan</w:t>
      </w:r>
      <w:proofErr w:type="spellEnd"/>
      <w:r w:rsidRPr="009F7F21">
        <w:rPr>
          <w:color w:val="000000"/>
        </w:rPr>
        <w:t xml:space="preserve"> ve ark., 2018; </w:t>
      </w:r>
      <w:proofErr w:type="spellStart"/>
      <w:r w:rsidRPr="009F7F21">
        <w:rPr>
          <w:color w:val="000000"/>
        </w:rPr>
        <w:t>DrugBank</w:t>
      </w:r>
      <w:proofErr w:type="spellEnd"/>
      <w:r w:rsidRPr="009F7F21">
        <w:rPr>
          <w:color w:val="000000"/>
        </w:rPr>
        <w:t>).</w:t>
      </w:r>
    </w:p>
    <w:p w14:paraId="5582E756" w14:textId="204E2AE1" w:rsidR="009F7F21" w:rsidRDefault="009F7F21" w:rsidP="00FC6DFA">
      <w:pPr>
        <w:spacing w:before="480" w:after="120" w:line="276" w:lineRule="auto"/>
        <w:ind w:left="360" w:firstLine="349"/>
        <w:jc w:val="both"/>
        <w:rPr>
          <w:rFonts w:ascii="Times New Roman" w:eastAsia="Times New Roman" w:hAnsi="Times New Roman" w:cs="Times New Roman"/>
          <w:b/>
          <w:bCs/>
          <w:color w:val="000000"/>
          <w:sz w:val="24"/>
          <w:szCs w:val="24"/>
          <w:lang w:eastAsia="tr-TR"/>
        </w:rPr>
      </w:pPr>
      <w:r w:rsidRPr="009F7F21">
        <w:rPr>
          <w:rFonts w:ascii="Times New Roman" w:eastAsia="Times New Roman" w:hAnsi="Times New Roman" w:cs="Times New Roman"/>
          <w:b/>
          <w:bCs/>
          <w:color w:val="000000"/>
          <w:sz w:val="24"/>
          <w:szCs w:val="24"/>
          <w:lang w:eastAsia="tr-TR"/>
        </w:rPr>
        <w:t>12.</w:t>
      </w:r>
      <w:r w:rsidRPr="009F7F21">
        <w:rPr>
          <w:rFonts w:ascii="Times New Roman" w:eastAsia="Times New Roman" w:hAnsi="Times New Roman" w:cs="Times New Roman"/>
          <w:color w:val="000000"/>
          <w:sz w:val="24"/>
          <w:szCs w:val="24"/>
          <w:lang w:eastAsia="tr-TR"/>
        </w:rPr>
        <w:t xml:space="preserve"> </w:t>
      </w:r>
      <w:r w:rsidRPr="009F7F21">
        <w:rPr>
          <w:rFonts w:ascii="Times New Roman" w:eastAsia="Times New Roman" w:hAnsi="Times New Roman" w:cs="Times New Roman"/>
          <w:b/>
          <w:bCs/>
          <w:color w:val="000000"/>
          <w:sz w:val="24"/>
          <w:szCs w:val="24"/>
          <w:lang w:eastAsia="tr-TR"/>
        </w:rPr>
        <w:t>Bitkinin Uçucu Yağının Gıda Olarak Kullanımı Hakkında Diğer Ülkelerdeki Durumu</w:t>
      </w:r>
    </w:p>
    <w:p w14:paraId="0E6EAA88" w14:textId="5BCCAF67" w:rsidR="002B5BE8" w:rsidRDefault="002B5BE8" w:rsidP="002B5BE8">
      <w:pPr>
        <w:pStyle w:val="NormalWeb"/>
        <w:spacing w:before="120" w:beforeAutospacing="0" w:after="120" w:afterAutospacing="0"/>
        <w:ind w:firstLine="700"/>
        <w:jc w:val="both"/>
      </w:pPr>
      <w:r>
        <w:rPr>
          <w:color w:val="000000"/>
        </w:rPr>
        <w:t>Avrupa Gıda Güvenliği Otoritesi (EFSA) tarafından yayımlanan</w:t>
      </w:r>
      <w:r>
        <w:rPr>
          <w:i/>
          <w:iCs/>
          <w:color w:val="000000"/>
        </w:rPr>
        <w:t xml:space="preserve"> “</w:t>
      </w:r>
      <w:proofErr w:type="spellStart"/>
      <w:r>
        <w:rPr>
          <w:i/>
          <w:iCs/>
          <w:color w:val="000000"/>
        </w:rPr>
        <w:t>Botanical</w:t>
      </w:r>
      <w:proofErr w:type="spellEnd"/>
      <w:r>
        <w:rPr>
          <w:i/>
          <w:iCs/>
          <w:color w:val="000000"/>
        </w:rPr>
        <w:t xml:space="preserve"> </w:t>
      </w:r>
      <w:proofErr w:type="spellStart"/>
      <w:r>
        <w:rPr>
          <w:i/>
          <w:iCs/>
          <w:color w:val="000000"/>
        </w:rPr>
        <w:t>Summary</w:t>
      </w:r>
      <w:proofErr w:type="spellEnd"/>
      <w:r>
        <w:rPr>
          <w:i/>
          <w:iCs/>
          <w:color w:val="000000"/>
        </w:rPr>
        <w:t xml:space="preserve"> Report” </w:t>
      </w:r>
      <w:r>
        <w:rPr>
          <w:color w:val="000000"/>
        </w:rPr>
        <w:t xml:space="preserve">başlıklı bilimsel veri tabanında </w:t>
      </w:r>
      <w:proofErr w:type="spellStart"/>
      <w:r w:rsidRPr="00F77E79">
        <w:rPr>
          <w:i/>
          <w:iCs/>
          <w:color w:val="000000"/>
        </w:rPr>
        <w:t>Cymbopogon</w:t>
      </w:r>
      <w:proofErr w:type="spellEnd"/>
      <w:r w:rsidRPr="00F77E79">
        <w:rPr>
          <w:i/>
          <w:iCs/>
          <w:color w:val="000000"/>
        </w:rPr>
        <w:t xml:space="preserve"> martini</w:t>
      </w:r>
      <w:r w:rsidRPr="00F77E79">
        <w:rPr>
          <w:color w:val="000000"/>
        </w:rPr>
        <w:t xml:space="preserve"> </w:t>
      </w:r>
      <w:r>
        <w:rPr>
          <w:color w:val="000000"/>
        </w:rPr>
        <w:t xml:space="preserve">bitkisinin uçucu yağ kısmıyla ilgili olarak </w:t>
      </w:r>
      <w:proofErr w:type="spellStart"/>
      <w:r>
        <w:rPr>
          <w:color w:val="000000"/>
        </w:rPr>
        <w:t>Khan</w:t>
      </w:r>
      <w:proofErr w:type="spellEnd"/>
      <w:r>
        <w:rPr>
          <w:color w:val="000000"/>
        </w:rPr>
        <w:t xml:space="preserve"> ve ark. (2012) tarafından tespit edilen </w:t>
      </w:r>
      <w:proofErr w:type="spellStart"/>
      <w:r w:rsidR="00264771" w:rsidRPr="00264771">
        <w:rPr>
          <w:color w:val="000000"/>
        </w:rPr>
        <w:t>sinnamaldehit</w:t>
      </w:r>
      <w:proofErr w:type="spellEnd"/>
      <w:r w:rsidRPr="00264771">
        <w:rPr>
          <w:color w:val="000000"/>
        </w:rPr>
        <w:t xml:space="preserve"> </w:t>
      </w:r>
      <w:r>
        <w:rPr>
          <w:color w:val="000000"/>
        </w:rPr>
        <w:t>içeriğine yer verilmiştir.</w:t>
      </w:r>
    </w:p>
    <w:p w14:paraId="4690E15F" w14:textId="51FB9014" w:rsidR="002B5BE8" w:rsidRDefault="002B5BE8" w:rsidP="002B5BE8">
      <w:pPr>
        <w:pStyle w:val="NormalWeb"/>
        <w:spacing w:before="120" w:beforeAutospacing="0" w:after="120" w:afterAutospacing="0"/>
        <w:ind w:firstLine="700"/>
        <w:jc w:val="both"/>
      </w:pPr>
      <w:r>
        <w:rPr>
          <w:color w:val="000000"/>
        </w:rPr>
        <w:t xml:space="preserve">İncelenen AB üye ülkeleri listelerinde (Almanya, </w:t>
      </w:r>
      <w:r w:rsidRPr="009F7F21">
        <w:rPr>
          <w:color w:val="000000"/>
        </w:rPr>
        <w:t>Avusturya</w:t>
      </w:r>
      <w:r>
        <w:rPr>
          <w:color w:val="000000"/>
        </w:rPr>
        <w:t xml:space="preserve">, </w:t>
      </w:r>
      <w:proofErr w:type="spellStart"/>
      <w:r>
        <w:rPr>
          <w:color w:val="000000"/>
        </w:rPr>
        <w:t>Çekya</w:t>
      </w:r>
      <w:proofErr w:type="spellEnd"/>
      <w:r>
        <w:rPr>
          <w:color w:val="000000"/>
        </w:rPr>
        <w:t>, Danimarka, Hollanda, İngiltere, Macaristan, Finlandiya) </w:t>
      </w:r>
      <w:proofErr w:type="spellStart"/>
      <w:r w:rsidRPr="00F77E79">
        <w:rPr>
          <w:i/>
          <w:iCs/>
          <w:color w:val="000000"/>
        </w:rPr>
        <w:t>Cymbopogon</w:t>
      </w:r>
      <w:proofErr w:type="spellEnd"/>
      <w:r w:rsidRPr="00F77E79">
        <w:rPr>
          <w:i/>
          <w:iCs/>
          <w:color w:val="000000"/>
        </w:rPr>
        <w:t xml:space="preserve"> martini</w:t>
      </w:r>
      <w:r w:rsidRPr="00F77E79">
        <w:rPr>
          <w:color w:val="000000"/>
        </w:rPr>
        <w:t xml:space="preserve"> </w:t>
      </w:r>
      <w:r>
        <w:rPr>
          <w:color w:val="000000"/>
        </w:rPr>
        <w:t>bitkisi yer almamaktadır. Bitkinin yer aldığı</w:t>
      </w:r>
      <w:r w:rsidR="00264771">
        <w:rPr>
          <w:color w:val="000000"/>
        </w:rPr>
        <w:t xml:space="preserve"> diğer</w:t>
      </w:r>
      <w:r>
        <w:rPr>
          <w:color w:val="000000"/>
        </w:rPr>
        <w:t xml:space="preserve"> listeler ve kullanım şartları aşağıda verilmiştir. </w:t>
      </w:r>
    </w:p>
    <w:p w14:paraId="668DC260" w14:textId="3AD33E76" w:rsidR="009F7F21" w:rsidRPr="009F7F21" w:rsidRDefault="009F7F21" w:rsidP="009C516A">
      <w:pPr>
        <w:spacing w:after="0" w:line="276" w:lineRule="auto"/>
        <w:ind w:firstLine="720"/>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color w:val="000000"/>
          <w:sz w:val="24"/>
          <w:szCs w:val="24"/>
          <w:lang w:eastAsia="tr-TR"/>
        </w:rPr>
        <w:t xml:space="preserve">Belçika’da </w:t>
      </w:r>
      <w:r w:rsidRPr="009F7F21">
        <w:rPr>
          <w:rFonts w:ascii="Times New Roman" w:eastAsia="Times New Roman" w:hAnsi="Times New Roman" w:cs="Times New Roman"/>
          <w:i/>
          <w:iCs/>
          <w:color w:val="000000"/>
          <w:sz w:val="24"/>
          <w:szCs w:val="24"/>
          <w:lang w:eastAsia="tr-TR"/>
        </w:rPr>
        <w:t>“Bitki ve Bitkisel Preparatlardan Oluşan veya Bunları İçeren Gıdaların Üretimi ve Ticaretine İlişkin Kraliyet Kararnamesi”</w:t>
      </w:r>
      <w:r w:rsidRPr="009F7F21">
        <w:rPr>
          <w:rFonts w:ascii="Times New Roman" w:eastAsia="Times New Roman" w:hAnsi="Times New Roman" w:cs="Times New Roman"/>
          <w:color w:val="000000"/>
          <w:sz w:val="24"/>
          <w:szCs w:val="24"/>
          <w:lang w:eastAsia="tr-TR"/>
        </w:rPr>
        <w:t xml:space="preserve"> yayımlanmıştır. 31 Ağustos 2021 yılında güncellenmiş olan bu Kararnamede, üç ayrı bitki listesi bulunmaktadır: </w:t>
      </w:r>
      <w:r w:rsidRPr="009F7F21">
        <w:rPr>
          <w:rFonts w:ascii="Times New Roman" w:eastAsia="Times New Roman" w:hAnsi="Times New Roman" w:cs="Times New Roman"/>
          <w:i/>
          <w:iCs/>
          <w:color w:val="000000"/>
          <w:sz w:val="24"/>
          <w:szCs w:val="24"/>
          <w:lang w:eastAsia="tr-TR"/>
        </w:rPr>
        <w:t>Gıda Olarak veya Gıdalarda Kullanılamayan Tehlikeli Bitkiler Listesi (Liste 1), Yenilebilir Mantarlar Listesi (Liste 2) ve Bildirimi Zorunlu Olan Dozu Belirlenmiş Bitkiler Listesi (Liste 3).</w:t>
      </w:r>
      <w:r w:rsidRPr="009F7F21">
        <w:rPr>
          <w:rFonts w:ascii="Times New Roman" w:eastAsia="Times New Roman" w:hAnsi="Times New Roman" w:cs="Times New Roman"/>
          <w:color w:val="000000"/>
          <w:sz w:val="24"/>
          <w:szCs w:val="24"/>
          <w:lang w:eastAsia="tr-TR"/>
        </w:rPr>
        <w:t xml:space="preserve"> Liste 3, takviye edici gıdalarda kullanılabilen bitkileri içermektedir. Söz konusu listelerden Liste-3’te </w:t>
      </w:r>
      <w:proofErr w:type="spellStart"/>
      <w:r w:rsidRPr="009F7F21">
        <w:rPr>
          <w:rFonts w:ascii="Times New Roman" w:eastAsia="Times New Roman" w:hAnsi="Times New Roman" w:cs="Times New Roman"/>
          <w:i/>
          <w:iCs/>
          <w:color w:val="000000"/>
          <w:sz w:val="24"/>
          <w:szCs w:val="24"/>
          <w:lang w:eastAsia="tr-TR"/>
        </w:rPr>
        <w:t>Cymbopogon</w:t>
      </w:r>
      <w:proofErr w:type="spellEnd"/>
      <w:r w:rsidRPr="009F7F21">
        <w:rPr>
          <w:rFonts w:ascii="Times New Roman" w:eastAsia="Times New Roman" w:hAnsi="Times New Roman" w:cs="Times New Roman"/>
          <w:i/>
          <w:iCs/>
          <w:color w:val="000000"/>
          <w:sz w:val="24"/>
          <w:szCs w:val="24"/>
          <w:lang w:eastAsia="tr-TR"/>
        </w:rPr>
        <w:t xml:space="preserve"> martini</w:t>
      </w:r>
      <w:r w:rsidRPr="009F7F21">
        <w:rPr>
          <w:rFonts w:ascii="Times New Roman" w:eastAsia="Times New Roman" w:hAnsi="Times New Roman" w:cs="Times New Roman"/>
          <w:color w:val="000000"/>
          <w:sz w:val="24"/>
          <w:szCs w:val="24"/>
          <w:lang w:eastAsia="tr-TR"/>
        </w:rPr>
        <w:t xml:space="preserve"> bitkisine yer verilmiş olup </w:t>
      </w:r>
      <w:r w:rsidRPr="00264771">
        <w:rPr>
          <w:rFonts w:ascii="Times New Roman" w:eastAsia="Times New Roman" w:hAnsi="Times New Roman" w:cs="Times New Roman"/>
          <w:color w:val="000000"/>
          <w:sz w:val="24"/>
          <w:szCs w:val="24"/>
          <w:lang w:eastAsia="tr-TR"/>
        </w:rPr>
        <w:t>kullanılan kısımlarının bütün bitki olduğu bilgisine yer verilmiştir</w:t>
      </w:r>
      <w:r w:rsidRPr="009F7F21">
        <w:rPr>
          <w:rFonts w:ascii="Times New Roman" w:eastAsia="Times New Roman" w:hAnsi="Times New Roman" w:cs="Times New Roman"/>
          <w:color w:val="000000"/>
          <w:sz w:val="24"/>
          <w:szCs w:val="24"/>
          <w:lang w:eastAsia="tr-TR"/>
        </w:rPr>
        <w:t xml:space="preserve"> (VVVL, 2026).</w:t>
      </w:r>
    </w:p>
    <w:p w14:paraId="295DBA02" w14:textId="6D70D123" w:rsidR="009F7F21" w:rsidRPr="009F7F21" w:rsidRDefault="009F7F21" w:rsidP="009C516A">
      <w:pPr>
        <w:spacing w:before="120" w:after="120" w:line="276" w:lineRule="auto"/>
        <w:ind w:firstLine="700"/>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color w:val="000000"/>
          <w:sz w:val="24"/>
          <w:szCs w:val="24"/>
          <w:lang w:eastAsia="tr-TR"/>
        </w:rPr>
        <w:t xml:space="preserve">Fransa </w:t>
      </w:r>
      <w:proofErr w:type="spellStart"/>
      <w:r w:rsidRPr="009F7F21">
        <w:rPr>
          <w:rFonts w:ascii="Times New Roman" w:eastAsia="Times New Roman" w:hAnsi="Times New Roman" w:cs="Times New Roman"/>
          <w:color w:val="000000"/>
          <w:sz w:val="24"/>
          <w:szCs w:val="24"/>
          <w:lang w:eastAsia="tr-TR"/>
        </w:rPr>
        <w:t>Ministry</w:t>
      </w:r>
      <w:proofErr w:type="spellEnd"/>
      <w:r w:rsidRPr="009F7F21">
        <w:rPr>
          <w:rFonts w:ascii="Times New Roman" w:eastAsia="Times New Roman" w:hAnsi="Times New Roman" w:cs="Times New Roman"/>
          <w:color w:val="000000"/>
          <w:sz w:val="24"/>
          <w:szCs w:val="24"/>
          <w:lang w:eastAsia="tr-TR"/>
        </w:rPr>
        <w:t xml:space="preserve"> of </w:t>
      </w:r>
      <w:proofErr w:type="spellStart"/>
      <w:r w:rsidRPr="009F7F21">
        <w:rPr>
          <w:rFonts w:ascii="Times New Roman" w:eastAsia="Times New Roman" w:hAnsi="Times New Roman" w:cs="Times New Roman"/>
          <w:color w:val="000000"/>
          <w:sz w:val="24"/>
          <w:szCs w:val="24"/>
          <w:lang w:eastAsia="tr-TR"/>
        </w:rPr>
        <w:t>the</w:t>
      </w:r>
      <w:proofErr w:type="spellEnd"/>
      <w:r w:rsidRPr="009F7F21">
        <w:rPr>
          <w:rFonts w:ascii="Times New Roman" w:eastAsia="Times New Roman" w:hAnsi="Times New Roman" w:cs="Times New Roman"/>
          <w:color w:val="000000"/>
          <w:sz w:val="24"/>
          <w:szCs w:val="24"/>
          <w:lang w:eastAsia="tr-TR"/>
        </w:rPr>
        <w:t xml:space="preserve"> </w:t>
      </w:r>
      <w:proofErr w:type="spellStart"/>
      <w:r w:rsidRPr="009F7F21">
        <w:rPr>
          <w:rFonts w:ascii="Times New Roman" w:eastAsia="Times New Roman" w:hAnsi="Times New Roman" w:cs="Times New Roman"/>
          <w:color w:val="000000"/>
          <w:sz w:val="24"/>
          <w:szCs w:val="24"/>
          <w:lang w:eastAsia="tr-TR"/>
        </w:rPr>
        <w:t>Economy</w:t>
      </w:r>
      <w:proofErr w:type="spellEnd"/>
      <w:r w:rsidRPr="009F7F21">
        <w:rPr>
          <w:rFonts w:ascii="Times New Roman" w:eastAsia="Times New Roman" w:hAnsi="Times New Roman" w:cs="Times New Roman"/>
          <w:color w:val="000000"/>
          <w:sz w:val="24"/>
          <w:szCs w:val="24"/>
          <w:lang w:eastAsia="tr-TR"/>
        </w:rPr>
        <w:t xml:space="preserve">, </w:t>
      </w:r>
      <w:proofErr w:type="spellStart"/>
      <w:r w:rsidRPr="009F7F21">
        <w:rPr>
          <w:rFonts w:ascii="Times New Roman" w:eastAsia="Times New Roman" w:hAnsi="Times New Roman" w:cs="Times New Roman"/>
          <w:color w:val="000000"/>
          <w:sz w:val="24"/>
          <w:szCs w:val="24"/>
          <w:lang w:eastAsia="tr-TR"/>
        </w:rPr>
        <w:t>Industrial</w:t>
      </w:r>
      <w:proofErr w:type="spellEnd"/>
      <w:r w:rsidRPr="009F7F21">
        <w:rPr>
          <w:rFonts w:ascii="Times New Roman" w:eastAsia="Times New Roman" w:hAnsi="Times New Roman" w:cs="Times New Roman"/>
          <w:color w:val="000000"/>
          <w:sz w:val="24"/>
          <w:szCs w:val="24"/>
          <w:lang w:eastAsia="tr-TR"/>
        </w:rPr>
        <w:t xml:space="preserve"> </w:t>
      </w:r>
      <w:proofErr w:type="spellStart"/>
      <w:r w:rsidRPr="009F7F21">
        <w:rPr>
          <w:rFonts w:ascii="Times New Roman" w:eastAsia="Times New Roman" w:hAnsi="Times New Roman" w:cs="Times New Roman"/>
          <w:color w:val="000000"/>
          <w:sz w:val="24"/>
          <w:szCs w:val="24"/>
          <w:lang w:eastAsia="tr-TR"/>
        </w:rPr>
        <w:t>Recovery</w:t>
      </w:r>
      <w:proofErr w:type="spellEnd"/>
      <w:r w:rsidRPr="009F7F21">
        <w:rPr>
          <w:rFonts w:ascii="Times New Roman" w:eastAsia="Times New Roman" w:hAnsi="Times New Roman" w:cs="Times New Roman"/>
          <w:color w:val="000000"/>
          <w:sz w:val="24"/>
          <w:szCs w:val="24"/>
          <w:lang w:eastAsia="tr-TR"/>
        </w:rPr>
        <w:t xml:space="preserve"> </w:t>
      </w:r>
      <w:proofErr w:type="spellStart"/>
      <w:r w:rsidRPr="009F7F21">
        <w:rPr>
          <w:rFonts w:ascii="Times New Roman" w:eastAsia="Times New Roman" w:hAnsi="Times New Roman" w:cs="Times New Roman"/>
          <w:color w:val="000000"/>
          <w:sz w:val="24"/>
          <w:szCs w:val="24"/>
          <w:lang w:eastAsia="tr-TR"/>
        </w:rPr>
        <w:t>and</w:t>
      </w:r>
      <w:proofErr w:type="spellEnd"/>
      <w:r w:rsidRPr="009F7F21">
        <w:rPr>
          <w:rFonts w:ascii="Times New Roman" w:eastAsia="Times New Roman" w:hAnsi="Times New Roman" w:cs="Times New Roman"/>
          <w:color w:val="000000"/>
          <w:sz w:val="24"/>
          <w:szCs w:val="24"/>
          <w:lang w:eastAsia="tr-TR"/>
        </w:rPr>
        <w:t xml:space="preserve"> </w:t>
      </w:r>
      <w:proofErr w:type="spellStart"/>
      <w:r w:rsidRPr="009F7F21">
        <w:rPr>
          <w:rFonts w:ascii="Times New Roman" w:eastAsia="Times New Roman" w:hAnsi="Times New Roman" w:cs="Times New Roman"/>
          <w:color w:val="000000"/>
          <w:sz w:val="24"/>
          <w:szCs w:val="24"/>
          <w:lang w:eastAsia="tr-TR"/>
        </w:rPr>
        <w:t>Digital</w:t>
      </w:r>
      <w:proofErr w:type="spellEnd"/>
      <w:r w:rsidRPr="009F7F21">
        <w:rPr>
          <w:rFonts w:ascii="Times New Roman" w:eastAsia="Times New Roman" w:hAnsi="Times New Roman" w:cs="Times New Roman"/>
          <w:color w:val="000000"/>
          <w:sz w:val="24"/>
          <w:szCs w:val="24"/>
          <w:lang w:eastAsia="tr-TR"/>
        </w:rPr>
        <w:t xml:space="preserve"> </w:t>
      </w:r>
      <w:proofErr w:type="spellStart"/>
      <w:r w:rsidRPr="009F7F21">
        <w:rPr>
          <w:rFonts w:ascii="Times New Roman" w:eastAsia="Times New Roman" w:hAnsi="Times New Roman" w:cs="Times New Roman"/>
          <w:color w:val="000000"/>
          <w:sz w:val="24"/>
          <w:szCs w:val="24"/>
          <w:lang w:eastAsia="tr-TR"/>
        </w:rPr>
        <w:t>Affairs</w:t>
      </w:r>
      <w:proofErr w:type="spellEnd"/>
      <w:r w:rsidRPr="009F7F21">
        <w:rPr>
          <w:rFonts w:ascii="Times New Roman" w:eastAsia="Times New Roman" w:hAnsi="Times New Roman" w:cs="Times New Roman"/>
          <w:color w:val="000000"/>
          <w:sz w:val="24"/>
          <w:szCs w:val="24"/>
          <w:lang w:eastAsia="tr-TR"/>
        </w:rPr>
        <w:t xml:space="preserve"> tarafından yayımlanan </w:t>
      </w:r>
      <w:r w:rsidR="00782D8A">
        <w:rPr>
          <w:rFonts w:ascii="Times New Roman" w:eastAsia="Times New Roman" w:hAnsi="Times New Roman" w:cs="Times New Roman"/>
          <w:color w:val="000000"/>
          <w:sz w:val="24"/>
          <w:szCs w:val="24"/>
          <w:lang w:eastAsia="tr-TR"/>
        </w:rPr>
        <w:t>m</w:t>
      </w:r>
      <w:r w:rsidRPr="009F7F21">
        <w:rPr>
          <w:rFonts w:ascii="Times New Roman" w:eastAsia="Times New Roman" w:hAnsi="Times New Roman" w:cs="Times New Roman"/>
          <w:color w:val="000000"/>
          <w:sz w:val="24"/>
          <w:szCs w:val="24"/>
          <w:lang w:eastAsia="tr-TR"/>
        </w:rPr>
        <w:t xml:space="preserve">antarlar hariç takviye edici gıdalarda kullanımına izin verilen bitkilerin listesi ve kullanım koşullarını belirleyen 24 Haziran 2014 tarihli Kararnamesi’nin EK-1’inde takviye edici gıdalarda kullanılabilecek bitkiler veya bitki kısımları listesi bulunmaktadır. Gıda Takviyelerine ilişkin 2006-352 sayılı Kararnamenin 7 maddesine göre yaygın olarak kullanılan </w:t>
      </w:r>
      <w:r w:rsidRPr="009F7F21">
        <w:rPr>
          <w:rFonts w:ascii="Times New Roman" w:eastAsia="Times New Roman" w:hAnsi="Times New Roman" w:cs="Times New Roman"/>
          <w:color w:val="000000"/>
          <w:sz w:val="24"/>
          <w:szCs w:val="24"/>
          <w:shd w:val="clear" w:color="auto" w:fill="FFFFFF"/>
          <w:lang w:eastAsia="tr-TR"/>
        </w:rPr>
        <w:t>alg, mantar, liken ve uçucu yağ</w:t>
      </w:r>
      <w:r w:rsidRPr="009F7F21">
        <w:rPr>
          <w:rFonts w:ascii="Times New Roman" w:eastAsia="Times New Roman" w:hAnsi="Times New Roman" w:cs="Times New Roman"/>
          <w:color w:val="000000"/>
          <w:sz w:val="24"/>
          <w:szCs w:val="24"/>
          <w:lang w:eastAsia="tr-TR"/>
        </w:rPr>
        <w:t xml:space="preserve">ların takviye edici gıdalarda kullanılmasına izin verilmektedir. Bu kapsamda Rekabet, Tüketici İşleri ve Sahtecilikle Mücadele Genel Müdürlüğü (DGCCRF), takviye edici gıda üreticilerine yardımcı olması amacıyla takviye edici gıdalarda kullanılabilecek alg, liken ve uçucu yağlar listesi ile onların sağlık önerilerine yönelik listeler oluşturmuştur. Söz konusu “EK-1 </w:t>
      </w:r>
      <w:proofErr w:type="spellStart"/>
      <w:r w:rsidRPr="009F7F21">
        <w:rPr>
          <w:rFonts w:ascii="Times New Roman" w:eastAsia="Times New Roman" w:hAnsi="Times New Roman" w:cs="Times New Roman"/>
          <w:color w:val="000000"/>
          <w:sz w:val="24"/>
          <w:szCs w:val="24"/>
          <w:lang w:eastAsia="tr-TR"/>
        </w:rPr>
        <w:t>Listesi”nde</w:t>
      </w:r>
      <w:proofErr w:type="spellEnd"/>
      <w:r w:rsidRPr="009F7F21">
        <w:rPr>
          <w:rFonts w:ascii="Times New Roman" w:eastAsia="Times New Roman" w:hAnsi="Times New Roman" w:cs="Times New Roman"/>
          <w:color w:val="000000"/>
          <w:sz w:val="24"/>
          <w:szCs w:val="24"/>
          <w:lang w:eastAsia="tr-TR"/>
        </w:rPr>
        <w:t xml:space="preserve"> </w:t>
      </w:r>
      <w:proofErr w:type="spellStart"/>
      <w:r w:rsidRPr="009F7F21">
        <w:rPr>
          <w:rFonts w:ascii="Times New Roman" w:eastAsia="Times New Roman" w:hAnsi="Times New Roman" w:cs="Times New Roman"/>
          <w:i/>
          <w:iCs/>
          <w:color w:val="000000"/>
          <w:sz w:val="24"/>
          <w:szCs w:val="24"/>
          <w:lang w:eastAsia="tr-TR"/>
        </w:rPr>
        <w:t>Cymbopogon</w:t>
      </w:r>
      <w:proofErr w:type="spellEnd"/>
      <w:r w:rsidRPr="009F7F21">
        <w:rPr>
          <w:rFonts w:ascii="Times New Roman" w:eastAsia="Times New Roman" w:hAnsi="Times New Roman" w:cs="Times New Roman"/>
          <w:i/>
          <w:iCs/>
          <w:color w:val="000000"/>
          <w:sz w:val="24"/>
          <w:szCs w:val="24"/>
          <w:lang w:eastAsia="tr-TR"/>
        </w:rPr>
        <w:t xml:space="preserve"> martini</w:t>
      </w:r>
      <w:r w:rsidRPr="009F7F21">
        <w:rPr>
          <w:rFonts w:ascii="Times New Roman" w:eastAsia="Times New Roman" w:hAnsi="Times New Roman" w:cs="Times New Roman"/>
          <w:color w:val="000000"/>
          <w:sz w:val="24"/>
          <w:szCs w:val="24"/>
          <w:lang w:eastAsia="tr-TR"/>
        </w:rPr>
        <w:t xml:space="preserve"> bitkisinin </w:t>
      </w:r>
      <w:r w:rsidRPr="00782D8A">
        <w:rPr>
          <w:rFonts w:ascii="Times New Roman" w:eastAsia="Times New Roman" w:hAnsi="Times New Roman" w:cs="Times New Roman"/>
          <w:color w:val="000000"/>
          <w:sz w:val="24"/>
          <w:szCs w:val="24"/>
          <w:lang w:eastAsia="tr-TR"/>
        </w:rPr>
        <w:t>toprak üstü kısımlarına</w:t>
      </w:r>
      <w:r w:rsidRPr="009F7F21">
        <w:rPr>
          <w:rFonts w:ascii="Times New Roman" w:eastAsia="Times New Roman" w:hAnsi="Times New Roman" w:cs="Times New Roman"/>
          <w:color w:val="000000"/>
          <w:sz w:val="24"/>
          <w:szCs w:val="24"/>
          <w:lang w:eastAsia="tr-TR"/>
        </w:rPr>
        <w:t xml:space="preserve"> ve </w:t>
      </w:r>
      <w:r w:rsidR="00782D8A">
        <w:rPr>
          <w:rFonts w:ascii="Times New Roman" w:eastAsia="Times New Roman" w:hAnsi="Times New Roman" w:cs="Times New Roman"/>
          <w:color w:val="000000"/>
          <w:sz w:val="24"/>
          <w:szCs w:val="24"/>
          <w:lang w:eastAsia="tr-TR"/>
        </w:rPr>
        <w:t>“</w:t>
      </w:r>
      <w:r w:rsidRPr="009F7F21">
        <w:rPr>
          <w:rFonts w:ascii="Times New Roman" w:eastAsia="Times New Roman" w:hAnsi="Times New Roman" w:cs="Times New Roman"/>
          <w:color w:val="000000"/>
          <w:sz w:val="24"/>
          <w:szCs w:val="24"/>
          <w:lang w:eastAsia="tr-TR"/>
        </w:rPr>
        <w:t xml:space="preserve">Geleneksel </w:t>
      </w:r>
      <w:r w:rsidRPr="00782D8A">
        <w:rPr>
          <w:rFonts w:ascii="Times New Roman" w:eastAsia="Times New Roman" w:hAnsi="Times New Roman" w:cs="Times New Roman"/>
          <w:color w:val="000000"/>
          <w:sz w:val="24"/>
          <w:szCs w:val="24"/>
          <w:lang w:eastAsia="tr-TR"/>
        </w:rPr>
        <w:t xml:space="preserve">Uçucu Yağ Bitkileri </w:t>
      </w:r>
      <w:proofErr w:type="spellStart"/>
      <w:r w:rsidRPr="00782D8A">
        <w:rPr>
          <w:rFonts w:ascii="Times New Roman" w:eastAsia="Times New Roman" w:hAnsi="Times New Roman" w:cs="Times New Roman"/>
          <w:color w:val="000000"/>
          <w:sz w:val="24"/>
          <w:szCs w:val="24"/>
          <w:lang w:eastAsia="tr-TR"/>
        </w:rPr>
        <w:t>Listesi”nde</w:t>
      </w:r>
      <w:proofErr w:type="spellEnd"/>
      <w:r w:rsidRPr="00782D8A">
        <w:rPr>
          <w:rFonts w:ascii="Times New Roman" w:eastAsia="Times New Roman" w:hAnsi="Times New Roman" w:cs="Times New Roman"/>
          <w:color w:val="000000"/>
          <w:sz w:val="24"/>
          <w:szCs w:val="24"/>
          <w:lang w:eastAsia="tr-TR"/>
        </w:rPr>
        <w:t xml:space="preserve"> bitkiye yer verilmiştir</w:t>
      </w:r>
      <w:r w:rsidRPr="009F7F21">
        <w:rPr>
          <w:rFonts w:ascii="Times New Roman" w:eastAsia="Times New Roman" w:hAnsi="Times New Roman" w:cs="Times New Roman"/>
          <w:color w:val="000000"/>
          <w:sz w:val="24"/>
          <w:szCs w:val="24"/>
          <w:lang w:eastAsia="tr-TR"/>
        </w:rPr>
        <w:t> (MDLDRPEDN, 2014; DGCCRF, 2024).</w:t>
      </w:r>
    </w:p>
    <w:p w14:paraId="0BB5A337" w14:textId="281CFC4E" w:rsidR="009F7F21" w:rsidRPr="009F7F21" w:rsidRDefault="009F7F21" w:rsidP="009C516A">
      <w:pPr>
        <w:spacing w:before="120" w:after="120" w:line="276" w:lineRule="auto"/>
        <w:ind w:firstLine="700"/>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color w:val="000000"/>
          <w:sz w:val="24"/>
          <w:szCs w:val="24"/>
          <w:lang w:eastAsia="tr-TR"/>
        </w:rPr>
        <w:t xml:space="preserve"> Hırvatistan Sağlık Bakanlığı </w:t>
      </w:r>
      <w:r w:rsidR="00782D8A">
        <w:rPr>
          <w:rFonts w:ascii="Times New Roman" w:eastAsia="Times New Roman" w:hAnsi="Times New Roman" w:cs="Times New Roman"/>
          <w:color w:val="000000"/>
          <w:sz w:val="24"/>
          <w:szCs w:val="24"/>
          <w:lang w:eastAsia="tr-TR"/>
        </w:rPr>
        <w:t>t</w:t>
      </w:r>
      <w:r w:rsidRPr="009F7F21">
        <w:rPr>
          <w:rFonts w:ascii="Times New Roman" w:eastAsia="Times New Roman" w:hAnsi="Times New Roman" w:cs="Times New Roman"/>
          <w:color w:val="000000"/>
          <w:sz w:val="24"/>
          <w:szCs w:val="24"/>
          <w:lang w:eastAsia="tr-TR"/>
        </w:rPr>
        <w:t xml:space="preserve">arafından </w:t>
      </w:r>
      <w:r w:rsidR="00782D8A">
        <w:rPr>
          <w:rFonts w:ascii="Times New Roman" w:eastAsia="Times New Roman" w:hAnsi="Times New Roman" w:cs="Times New Roman"/>
          <w:color w:val="000000"/>
          <w:sz w:val="24"/>
          <w:szCs w:val="24"/>
          <w:lang w:eastAsia="tr-TR"/>
        </w:rPr>
        <w:t>y</w:t>
      </w:r>
      <w:r w:rsidRPr="009F7F21">
        <w:rPr>
          <w:rFonts w:ascii="Times New Roman" w:eastAsia="Times New Roman" w:hAnsi="Times New Roman" w:cs="Times New Roman"/>
          <w:color w:val="000000"/>
          <w:sz w:val="24"/>
          <w:szCs w:val="24"/>
          <w:lang w:eastAsia="tr-TR"/>
        </w:rPr>
        <w:t xml:space="preserve">ayımlanmış </w:t>
      </w:r>
      <w:r w:rsidR="00782D8A">
        <w:rPr>
          <w:rFonts w:ascii="Times New Roman" w:eastAsia="Times New Roman" w:hAnsi="Times New Roman" w:cs="Times New Roman"/>
          <w:color w:val="000000"/>
          <w:sz w:val="24"/>
          <w:szCs w:val="24"/>
          <w:lang w:eastAsia="tr-TR"/>
        </w:rPr>
        <w:t>o</w:t>
      </w:r>
      <w:r w:rsidRPr="009F7F21">
        <w:rPr>
          <w:rFonts w:ascii="Times New Roman" w:eastAsia="Times New Roman" w:hAnsi="Times New Roman" w:cs="Times New Roman"/>
          <w:color w:val="000000"/>
          <w:sz w:val="24"/>
          <w:szCs w:val="24"/>
          <w:lang w:eastAsia="tr-TR"/>
        </w:rPr>
        <w:t>lan “</w:t>
      </w:r>
      <w:r w:rsidRPr="009F7F21">
        <w:rPr>
          <w:rFonts w:ascii="Times New Roman" w:eastAsia="Times New Roman" w:hAnsi="Times New Roman" w:cs="Times New Roman"/>
          <w:color w:val="252525"/>
          <w:sz w:val="24"/>
          <w:szCs w:val="24"/>
          <w:shd w:val="clear" w:color="auto" w:fill="FFFFFF"/>
          <w:lang w:eastAsia="tr-TR"/>
        </w:rPr>
        <w:t xml:space="preserve">Gıdalara Katılabilecek </w:t>
      </w:r>
      <w:r w:rsidR="00782D8A">
        <w:rPr>
          <w:rFonts w:ascii="Times New Roman" w:eastAsia="Times New Roman" w:hAnsi="Times New Roman" w:cs="Times New Roman"/>
          <w:color w:val="252525"/>
          <w:sz w:val="24"/>
          <w:szCs w:val="24"/>
          <w:shd w:val="clear" w:color="auto" w:fill="FFFFFF"/>
          <w:lang w:eastAsia="tr-TR"/>
        </w:rPr>
        <w:t>v</w:t>
      </w:r>
      <w:r w:rsidRPr="009F7F21">
        <w:rPr>
          <w:rFonts w:ascii="Times New Roman" w:eastAsia="Times New Roman" w:hAnsi="Times New Roman" w:cs="Times New Roman"/>
          <w:color w:val="252525"/>
          <w:sz w:val="24"/>
          <w:szCs w:val="24"/>
          <w:shd w:val="clear" w:color="auto" w:fill="FFFFFF"/>
          <w:lang w:eastAsia="tr-TR"/>
        </w:rPr>
        <w:t xml:space="preserve">e Gıda Üretiminde Kullanılabilecek Maddeler </w:t>
      </w:r>
      <w:r w:rsidR="00782D8A">
        <w:rPr>
          <w:rFonts w:ascii="Times New Roman" w:eastAsia="Times New Roman" w:hAnsi="Times New Roman" w:cs="Times New Roman"/>
          <w:color w:val="252525"/>
          <w:sz w:val="24"/>
          <w:szCs w:val="24"/>
          <w:shd w:val="clear" w:color="auto" w:fill="FFFFFF"/>
          <w:lang w:eastAsia="tr-TR"/>
        </w:rPr>
        <w:t>v</w:t>
      </w:r>
      <w:r w:rsidRPr="009F7F21">
        <w:rPr>
          <w:rFonts w:ascii="Times New Roman" w:eastAsia="Times New Roman" w:hAnsi="Times New Roman" w:cs="Times New Roman"/>
          <w:color w:val="252525"/>
          <w:sz w:val="24"/>
          <w:szCs w:val="24"/>
          <w:shd w:val="clear" w:color="auto" w:fill="FFFFFF"/>
          <w:lang w:eastAsia="tr-TR"/>
        </w:rPr>
        <w:t xml:space="preserve">e Gıdalarda Kullanımı Yasaklanan </w:t>
      </w:r>
      <w:r w:rsidR="00782D8A">
        <w:rPr>
          <w:rFonts w:ascii="Times New Roman" w:eastAsia="Times New Roman" w:hAnsi="Times New Roman" w:cs="Times New Roman"/>
          <w:color w:val="252525"/>
          <w:sz w:val="24"/>
          <w:szCs w:val="24"/>
          <w:shd w:val="clear" w:color="auto" w:fill="FFFFFF"/>
          <w:lang w:eastAsia="tr-TR"/>
        </w:rPr>
        <w:t>v</w:t>
      </w:r>
      <w:r w:rsidRPr="009F7F21">
        <w:rPr>
          <w:rFonts w:ascii="Times New Roman" w:eastAsia="Times New Roman" w:hAnsi="Times New Roman" w:cs="Times New Roman"/>
          <w:color w:val="252525"/>
          <w:sz w:val="24"/>
          <w:szCs w:val="24"/>
          <w:shd w:val="clear" w:color="auto" w:fill="FFFFFF"/>
          <w:lang w:eastAsia="tr-TR"/>
        </w:rPr>
        <w:t>eya Sınırlandırılan Maddeler Hakkında Yönetmelik”</w:t>
      </w:r>
      <w:r w:rsidR="00336BE2">
        <w:rPr>
          <w:rFonts w:ascii="Times New Roman" w:eastAsia="Times New Roman" w:hAnsi="Times New Roman" w:cs="Times New Roman"/>
          <w:color w:val="252525"/>
          <w:sz w:val="24"/>
          <w:szCs w:val="24"/>
          <w:shd w:val="clear" w:color="auto" w:fill="FFFFFF"/>
          <w:lang w:eastAsia="tr-TR"/>
        </w:rPr>
        <w:t xml:space="preserve"> </w:t>
      </w:r>
      <w:r w:rsidR="00782D8A">
        <w:rPr>
          <w:rFonts w:ascii="Times New Roman" w:eastAsia="Times New Roman" w:hAnsi="Times New Roman" w:cs="Times New Roman"/>
          <w:color w:val="252525"/>
          <w:sz w:val="24"/>
          <w:szCs w:val="24"/>
          <w:shd w:val="clear" w:color="auto" w:fill="FFFFFF"/>
          <w:lang w:eastAsia="tr-TR"/>
        </w:rPr>
        <w:t>i</w:t>
      </w:r>
      <w:r w:rsidRPr="009F7F21">
        <w:rPr>
          <w:rFonts w:ascii="Times New Roman" w:eastAsia="Times New Roman" w:hAnsi="Times New Roman" w:cs="Times New Roman"/>
          <w:color w:val="252525"/>
          <w:sz w:val="24"/>
          <w:szCs w:val="24"/>
          <w:shd w:val="clear" w:color="auto" w:fill="FFFFFF"/>
          <w:lang w:eastAsia="tr-TR"/>
        </w:rPr>
        <w:t xml:space="preserve">n Ek-2’sinde “Kullanılmasına İzin Verilen Diğer Maddeler” Başlığı Altında Gıda </w:t>
      </w:r>
      <w:r w:rsidR="00782D8A">
        <w:rPr>
          <w:rFonts w:ascii="Times New Roman" w:eastAsia="Times New Roman" w:hAnsi="Times New Roman" w:cs="Times New Roman"/>
          <w:color w:val="252525"/>
          <w:sz w:val="24"/>
          <w:szCs w:val="24"/>
          <w:shd w:val="clear" w:color="auto" w:fill="FFFFFF"/>
          <w:lang w:eastAsia="tr-TR"/>
        </w:rPr>
        <w:t>v</w:t>
      </w:r>
      <w:r w:rsidRPr="009F7F21">
        <w:rPr>
          <w:rFonts w:ascii="Times New Roman" w:eastAsia="Times New Roman" w:hAnsi="Times New Roman" w:cs="Times New Roman"/>
          <w:color w:val="252525"/>
          <w:sz w:val="24"/>
          <w:szCs w:val="24"/>
          <w:shd w:val="clear" w:color="auto" w:fill="FFFFFF"/>
          <w:lang w:eastAsia="tr-TR"/>
        </w:rPr>
        <w:t xml:space="preserve">e Takviye Edici Gıdalarda Kullanılmasına İzni Verilen “Tablo 3. Bitki Türleri” Ve “Tablo 4. Mantarlar” listelenmiştir. </w:t>
      </w:r>
      <w:r w:rsidRPr="009F7F21">
        <w:rPr>
          <w:rFonts w:ascii="Times New Roman" w:eastAsia="Times New Roman" w:hAnsi="Times New Roman" w:cs="Times New Roman"/>
          <w:color w:val="000000"/>
          <w:sz w:val="24"/>
          <w:szCs w:val="24"/>
          <w:lang w:eastAsia="tr-TR"/>
        </w:rPr>
        <w:t xml:space="preserve">Liste </w:t>
      </w:r>
      <w:r w:rsidR="00336BE2" w:rsidRPr="009F7F21">
        <w:rPr>
          <w:rFonts w:ascii="Times New Roman" w:eastAsia="Times New Roman" w:hAnsi="Times New Roman" w:cs="Times New Roman"/>
          <w:color w:val="000000"/>
          <w:sz w:val="24"/>
          <w:szCs w:val="24"/>
          <w:lang w:eastAsia="tr-TR"/>
        </w:rPr>
        <w:t xml:space="preserve">kapsamında yer alan </w:t>
      </w:r>
      <w:r w:rsidR="00336BE2" w:rsidRPr="009F7F21">
        <w:rPr>
          <w:rFonts w:ascii="Times New Roman" w:eastAsia="Times New Roman" w:hAnsi="Times New Roman" w:cs="Times New Roman"/>
          <w:color w:val="000000"/>
          <w:sz w:val="24"/>
          <w:szCs w:val="24"/>
          <w:lang w:eastAsia="tr-TR"/>
        </w:rPr>
        <w:lastRenderedPageBreak/>
        <w:t>bitkilerin bazıları için kısıtlamalar ve kullanım koşulları da bildirilmiştir</w:t>
      </w:r>
      <w:r w:rsidRPr="009F7F21">
        <w:rPr>
          <w:rFonts w:ascii="Times New Roman" w:eastAsia="Times New Roman" w:hAnsi="Times New Roman" w:cs="Times New Roman"/>
          <w:color w:val="000000"/>
          <w:sz w:val="24"/>
          <w:szCs w:val="24"/>
          <w:lang w:eastAsia="tr-TR"/>
        </w:rPr>
        <w:t xml:space="preserve">. </w:t>
      </w:r>
      <w:r w:rsidRPr="009F7F21">
        <w:rPr>
          <w:rFonts w:ascii="Times New Roman" w:eastAsia="Times New Roman" w:hAnsi="Times New Roman" w:cs="Times New Roman"/>
          <w:color w:val="252525"/>
          <w:sz w:val="24"/>
          <w:szCs w:val="24"/>
          <w:shd w:val="clear" w:color="auto" w:fill="FFFFFF"/>
          <w:lang w:eastAsia="tr-TR"/>
        </w:rPr>
        <w:t xml:space="preserve">Ayrıca EK-3’de Gıda ve Gıda Takviyelerinde Yasaklanan Bitki Türlerinin Listesi bulunmaktadır. Söz konusu listelerden EK-2’de </w:t>
      </w:r>
      <w:r w:rsidRPr="00782D8A">
        <w:rPr>
          <w:rFonts w:ascii="Times New Roman" w:eastAsia="Times New Roman" w:hAnsi="Times New Roman" w:cs="Times New Roman"/>
          <w:color w:val="252525"/>
          <w:sz w:val="24"/>
          <w:szCs w:val="24"/>
          <w:shd w:val="clear" w:color="auto" w:fill="FFFFFF"/>
          <w:lang w:eastAsia="tr-TR"/>
        </w:rPr>
        <w:t>“Hamileler ve emzirenler tarafından kullanılmamalıdır”</w:t>
      </w:r>
      <w:r w:rsidRPr="009F7F21">
        <w:rPr>
          <w:rFonts w:ascii="Times New Roman" w:eastAsia="Times New Roman" w:hAnsi="Times New Roman" w:cs="Times New Roman"/>
          <w:color w:val="252525"/>
          <w:sz w:val="24"/>
          <w:szCs w:val="24"/>
          <w:shd w:val="clear" w:color="auto" w:fill="FFFFFF"/>
          <w:lang w:eastAsia="tr-TR"/>
        </w:rPr>
        <w:t xml:space="preserve"> koşulu ile </w:t>
      </w:r>
      <w:proofErr w:type="spellStart"/>
      <w:r w:rsidRPr="009F7F21">
        <w:rPr>
          <w:rFonts w:ascii="Times New Roman" w:eastAsia="Times New Roman" w:hAnsi="Times New Roman" w:cs="Times New Roman"/>
          <w:i/>
          <w:iCs/>
          <w:color w:val="252525"/>
          <w:sz w:val="24"/>
          <w:szCs w:val="24"/>
          <w:shd w:val="clear" w:color="auto" w:fill="FFFFFF"/>
          <w:lang w:eastAsia="tr-TR"/>
        </w:rPr>
        <w:t>Cymbopogon</w:t>
      </w:r>
      <w:proofErr w:type="spellEnd"/>
      <w:r w:rsidRPr="009F7F21">
        <w:rPr>
          <w:rFonts w:ascii="Times New Roman" w:eastAsia="Times New Roman" w:hAnsi="Times New Roman" w:cs="Times New Roman"/>
          <w:color w:val="252525"/>
          <w:sz w:val="24"/>
          <w:szCs w:val="24"/>
          <w:shd w:val="clear" w:color="auto" w:fill="FFFFFF"/>
          <w:lang w:eastAsia="tr-TR"/>
        </w:rPr>
        <w:t xml:space="preserve"> </w:t>
      </w:r>
      <w:proofErr w:type="spellStart"/>
      <w:r w:rsidRPr="009F7F21">
        <w:rPr>
          <w:rFonts w:ascii="Times New Roman" w:eastAsia="Times New Roman" w:hAnsi="Times New Roman" w:cs="Times New Roman"/>
          <w:color w:val="252525"/>
          <w:sz w:val="24"/>
          <w:szCs w:val="24"/>
          <w:shd w:val="clear" w:color="auto" w:fill="FFFFFF"/>
          <w:lang w:eastAsia="tr-TR"/>
        </w:rPr>
        <w:t>spp</w:t>
      </w:r>
      <w:proofErr w:type="spellEnd"/>
      <w:r w:rsidRPr="009F7F21">
        <w:rPr>
          <w:rFonts w:ascii="Times New Roman" w:eastAsia="Times New Roman" w:hAnsi="Times New Roman" w:cs="Times New Roman"/>
          <w:color w:val="252525"/>
          <w:sz w:val="24"/>
          <w:szCs w:val="24"/>
          <w:shd w:val="clear" w:color="auto" w:fill="FFFFFF"/>
          <w:lang w:eastAsia="tr-TR"/>
        </w:rPr>
        <w:t xml:space="preserve">. </w:t>
      </w:r>
      <w:proofErr w:type="gramStart"/>
      <w:r w:rsidRPr="009F7F21">
        <w:rPr>
          <w:rFonts w:ascii="Times New Roman" w:eastAsia="Times New Roman" w:hAnsi="Times New Roman" w:cs="Times New Roman"/>
          <w:color w:val="252525"/>
          <w:sz w:val="24"/>
          <w:szCs w:val="24"/>
          <w:shd w:val="clear" w:color="auto" w:fill="FFFFFF"/>
          <w:lang w:eastAsia="tr-TR"/>
        </w:rPr>
        <w:t>bitkisine</w:t>
      </w:r>
      <w:proofErr w:type="gramEnd"/>
      <w:r w:rsidRPr="009F7F21">
        <w:rPr>
          <w:rFonts w:ascii="Times New Roman" w:eastAsia="Times New Roman" w:hAnsi="Times New Roman" w:cs="Times New Roman"/>
          <w:color w:val="252525"/>
          <w:sz w:val="24"/>
          <w:szCs w:val="24"/>
          <w:shd w:val="clear" w:color="auto" w:fill="FFFFFF"/>
          <w:lang w:eastAsia="tr-TR"/>
        </w:rPr>
        <w:t xml:space="preserve"> yer verilmiştir.</w:t>
      </w:r>
      <w:r w:rsidRPr="009F7F21">
        <w:rPr>
          <w:rFonts w:ascii="Times New Roman" w:eastAsia="Times New Roman" w:hAnsi="Times New Roman" w:cs="Times New Roman"/>
          <w:color w:val="000000"/>
          <w:sz w:val="24"/>
          <w:szCs w:val="24"/>
          <w:lang w:eastAsia="tr-TR"/>
        </w:rPr>
        <w:t xml:space="preserve"> (MZ, 2013).</w:t>
      </w:r>
    </w:p>
    <w:p w14:paraId="4878D4A5" w14:textId="2AFAC48A" w:rsidR="009F7F21" w:rsidRPr="009F7F21" w:rsidRDefault="009F7F21" w:rsidP="009C516A">
      <w:pPr>
        <w:spacing w:before="120" w:after="120" w:line="276" w:lineRule="auto"/>
        <w:ind w:firstLine="700"/>
        <w:jc w:val="both"/>
        <w:rPr>
          <w:rFonts w:ascii="Times New Roman" w:eastAsia="Times New Roman" w:hAnsi="Times New Roman" w:cs="Times New Roman"/>
          <w:sz w:val="24"/>
          <w:szCs w:val="24"/>
          <w:lang w:eastAsia="tr-TR"/>
        </w:rPr>
      </w:pPr>
      <w:r w:rsidRPr="009F7F21">
        <w:rPr>
          <w:rFonts w:ascii="Times New Roman" w:eastAsia="Times New Roman" w:hAnsi="Times New Roman" w:cs="Times New Roman"/>
          <w:color w:val="000000"/>
          <w:sz w:val="24"/>
          <w:szCs w:val="24"/>
          <w:lang w:eastAsia="tr-TR"/>
        </w:rPr>
        <w:t>İtalya’da 2018 yılında yayımlanan “</w:t>
      </w:r>
      <w:r w:rsidRPr="009F7F21">
        <w:rPr>
          <w:rFonts w:ascii="Times New Roman" w:eastAsia="Times New Roman" w:hAnsi="Times New Roman" w:cs="Times New Roman"/>
          <w:i/>
          <w:iCs/>
          <w:color w:val="000000"/>
          <w:sz w:val="24"/>
          <w:szCs w:val="24"/>
          <w:lang w:eastAsia="tr-TR"/>
        </w:rPr>
        <w:t>Bitkiler ve Bitkisel Preparatların Takviye Edici Gıdalarda Kullanımına İlişkin Koşullar</w:t>
      </w:r>
      <w:r w:rsidRPr="009F7F21">
        <w:rPr>
          <w:rFonts w:ascii="Times New Roman" w:eastAsia="Times New Roman" w:hAnsi="Times New Roman" w:cs="Times New Roman"/>
          <w:color w:val="000000"/>
          <w:sz w:val="24"/>
          <w:szCs w:val="24"/>
          <w:lang w:eastAsia="tr-TR"/>
        </w:rPr>
        <w:t>”</w:t>
      </w:r>
      <w:r w:rsidRPr="009F7F21">
        <w:rPr>
          <w:rFonts w:ascii="Times New Roman" w:eastAsia="Times New Roman" w:hAnsi="Times New Roman" w:cs="Times New Roman"/>
          <w:i/>
          <w:iCs/>
          <w:color w:val="000000"/>
          <w:sz w:val="24"/>
          <w:szCs w:val="24"/>
          <w:lang w:eastAsia="tr-TR"/>
        </w:rPr>
        <w:t xml:space="preserve"> </w:t>
      </w:r>
      <w:r w:rsidRPr="009F7F21">
        <w:rPr>
          <w:rFonts w:ascii="Times New Roman" w:eastAsia="Times New Roman" w:hAnsi="Times New Roman" w:cs="Times New Roman"/>
          <w:color w:val="000000"/>
          <w:sz w:val="24"/>
          <w:szCs w:val="24"/>
          <w:lang w:eastAsia="tr-TR"/>
        </w:rPr>
        <w:t xml:space="preserve">hakkında Sağlık Bakanlığı tarafından yayınlanan kararname ekinde </w:t>
      </w:r>
      <w:r w:rsidR="00336BE2">
        <w:rPr>
          <w:rFonts w:ascii="Times New Roman" w:eastAsia="Times New Roman" w:hAnsi="Times New Roman" w:cs="Times New Roman"/>
          <w:color w:val="000000"/>
          <w:sz w:val="24"/>
          <w:szCs w:val="24"/>
          <w:lang w:eastAsia="tr-TR"/>
        </w:rPr>
        <w:t>“</w:t>
      </w:r>
      <w:r w:rsidR="00336BE2" w:rsidRPr="00336BE2">
        <w:rPr>
          <w:rFonts w:ascii="Times New Roman" w:eastAsia="Times New Roman" w:hAnsi="Times New Roman" w:cs="Times New Roman"/>
          <w:i/>
          <w:iCs/>
          <w:color w:val="000000"/>
          <w:sz w:val="24"/>
          <w:szCs w:val="24"/>
          <w:lang w:eastAsia="tr-TR"/>
        </w:rPr>
        <w:t>Takviye Edici Gıdalarda Kullanımına</w:t>
      </w:r>
      <w:r w:rsidR="00336BE2">
        <w:rPr>
          <w:rFonts w:ascii="Times New Roman" w:eastAsia="Times New Roman" w:hAnsi="Times New Roman" w:cs="Times New Roman"/>
          <w:color w:val="000000"/>
          <w:sz w:val="24"/>
          <w:szCs w:val="24"/>
          <w:lang w:eastAsia="tr-TR"/>
        </w:rPr>
        <w:t xml:space="preserve"> </w:t>
      </w:r>
      <w:r w:rsidRPr="009F7F21">
        <w:rPr>
          <w:rFonts w:ascii="Times New Roman" w:eastAsia="Times New Roman" w:hAnsi="Times New Roman" w:cs="Times New Roman"/>
          <w:i/>
          <w:iCs/>
          <w:color w:val="000000"/>
          <w:sz w:val="24"/>
          <w:szCs w:val="24"/>
          <w:lang w:eastAsia="tr-TR"/>
        </w:rPr>
        <w:t>İzin Verilen Bitkiler ve Bitkisel Preparatlar”</w:t>
      </w:r>
      <w:r w:rsidRPr="009F7F21">
        <w:rPr>
          <w:rFonts w:ascii="Times New Roman" w:eastAsia="Times New Roman" w:hAnsi="Times New Roman" w:cs="Times New Roman"/>
          <w:color w:val="000000"/>
          <w:sz w:val="24"/>
          <w:szCs w:val="24"/>
          <w:lang w:eastAsia="tr-TR"/>
        </w:rPr>
        <w:t xml:space="preserve"> listesi (Ek 1) bulunmaktadır. Söz konusu listede </w:t>
      </w:r>
      <w:proofErr w:type="spellStart"/>
      <w:r w:rsidRPr="009F7F21">
        <w:rPr>
          <w:rFonts w:ascii="Times New Roman" w:eastAsia="Times New Roman" w:hAnsi="Times New Roman" w:cs="Times New Roman"/>
          <w:i/>
          <w:iCs/>
          <w:color w:val="000000"/>
          <w:sz w:val="24"/>
          <w:szCs w:val="24"/>
          <w:lang w:eastAsia="tr-TR"/>
        </w:rPr>
        <w:t>Cymbopogon</w:t>
      </w:r>
      <w:proofErr w:type="spellEnd"/>
      <w:r w:rsidRPr="009F7F21">
        <w:rPr>
          <w:rFonts w:ascii="Times New Roman" w:eastAsia="Times New Roman" w:hAnsi="Times New Roman" w:cs="Times New Roman"/>
          <w:i/>
          <w:iCs/>
          <w:color w:val="000000"/>
          <w:sz w:val="24"/>
          <w:szCs w:val="24"/>
          <w:lang w:eastAsia="tr-TR"/>
        </w:rPr>
        <w:t xml:space="preserve"> martini </w:t>
      </w:r>
      <w:r w:rsidRPr="009F7F21">
        <w:rPr>
          <w:rFonts w:ascii="Times New Roman" w:eastAsia="Times New Roman" w:hAnsi="Times New Roman" w:cs="Times New Roman"/>
          <w:color w:val="000000"/>
          <w:sz w:val="24"/>
          <w:szCs w:val="24"/>
          <w:lang w:eastAsia="tr-TR"/>
        </w:rPr>
        <w:t xml:space="preserve">bitkisinin </w:t>
      </w:r>
      <w:r w:rsidRPr="00336BE2">
        <w:rPr>
          <w:rFonts w:ascii="Times New Roman" w:eastAsia="Times New Roman" w:hAnsi="Times New Roman" w:cs="Times New Roman"/>
          <w:color w:val="000000"/>
          <w:sz w:val="24"/>
          <w:szCs w:val="24"/>
          <w:lang w:eastAsia="tr-TR"/>
        </w:rPr>
        <w:t>(</w:t>
      </w:r>
      <w:proofErr w:type="spellStart"/>
      <w:r w:rsidRPr="00336BE2">
        <w:rPr>
          <w:rFonts w:ascii="Times New Roman" w:eastAsia="Times New Roman" w:hAnsi="Times New Roman" w:cs="Times New Roman"/>
          <w:color w:val="000000"/>
          <w:sz w:val="24"/>
          <w:szCs w:val="24"/>
          <w:lang w:eastAsia="tr-TR"/>
        </w:rPr>
        <w:t>olium</w:t>
      </w:r>
      <w:proofErr w:type="spellEnd"/>
      <w:r w:rsidRPr="00336BE2">
        <w:rPr>
          <w:rFonts w:ascii="Times New Roman" w:eastAsia="Times New Roman" w:hAnsi="Times New Roman" w:cs="Times New Roman"/>
          <w:color w:val="000000"/>
          <w:sz w:val="24"/>
          <w:szCs w:val="24"/>
          <w:lang w:eastAsia="tr-TR"/>
        </w:rPr>
        <w:t xml:space="preserve">(yağ), </w:t>
      </w:r>
      <w:proofErr w:type="spellStart"/>
      <w:proofErr w:type="gramStart"/>
      <w:r w:rsidRPr="00336BE2">
        <w:rPr>
          <w:rFonts w:ascii="Times New Roman" w:eastAsia="Times New Roman" w:hAnsi="Times New Roman" w:cs="Times New Roman"/>
          <w:color w:val="000000"/>
          <w:sz w:val="24"/>
          <w:szCs w:val="24"/>
          <w:lang w:eastAsia="tr-TR"/>
        </w:rPr>
        <w:t>herba</w:t>
      </w:r>
      <w:proofErr w:type="spellEnd"/>
      <w:r w:rsidRPr="00336BE2">
        <w:rPr>
          <w:rFonts w:ascii="Times New Roman" w:eastAsia="Times New Roman" w:hAnsi="Times New Roman" w:cs="Times New Roman"/>
          <w:color w:val="000000"/>
          <w:sz w:val="24"/>
          <w:szCs w:val="24"/>
          <w:lang w:eastAsia="tr-TR"/>
        </w:rPr>
        <w:t>(</w:t>
      </w:r>
      <w:proofErr w:type="gramEnd"/>
      <w:r w:rsidRPr="00336BE2">
        <w:rPr>
          <w:rFonts w:ascii="Times New Roman" w:eastAsia="Times New Roman" w:hAnsi="Times New Roman" w:cs="Times New Roman"/>
          <w:color w:val="000000"/>
          <w:sz w:val="24"/>
          <w:szCs w:val="24"/>
          <w:lang w:eastAsia="tr-TR"/>
        </w:rPr>
        <w:t xml:space="preserve">toprak üstü bitki), </w:t>
      </w:r>
      <w:proofErr w:type="spellStart"/>
      <w:r w:rsidRPr="00336BE2">
        <w:rPr>
          <w:rFonts w:ascii="Times New Roman" w:eastAsia="Times New Roman" w:hAnsi="Times New Roman" w:cs="Times New Roman"/>
          <w:color w:val="000000"/>
          <w:sz w:val="24"/>
          <w:szCs w:val="24"/>
          <w:lang w:eastAsia="tr-TR"/>
        </w:rPr>
        <w:t>summitas</w:t>
      </w:r>
      <w:proofErr w:type="spellEnd"/>
      <w:r w:rsidRPr="00336BE2">
        <w:rPr>
          <w:rFonts w:ascii="Times New Roman" w:eastAsia="Times New Roman" w:hAnsi="Times New Roman" w:cs="Times New Roman"/>
          <w:color w:val="000000"/>
          <w:sz w:val="24"/>
          <w:szCs w:val="24"/>
          <w:lang w:eastAsia="tr-TR"/>
        </w:rPr>
        <w:t xml:space="preserve">(çiçek), </w:t>
      </w:r>
      <w:proofErr w:type="spellStart"/>
      <w:r w:rsidRPr="00336BE2">
        <w:rPr>
          <w:rFonts w:ascii="Times New Roman" w:eastAsia="Times New Roman" w:hAnsi="Times New Roman" w:cs="Times New Roman"/>
          <w:color w:val="000000"/>
          <w:sz w:val="24"/>
          <w:szCs w:val="24"/>
          <w:lang w:eastAsia="tr-TR"/>
        </w:rPr>
        <w:t>aetheroleum</w:t>
      </w:r>
      <w:proofErr w:type="spellEnd"/>
      <w:r w:rsidRPr="00336BE2">
        <w:rPr>
          <w:rFonts w:ascii="Times New Roman" w:eastAsia="Times New Roman" w:hAnsi="Times New Roman" w:cs="Times New Roman"/>
          <w:color w:val="000000"/>
          <w:sz w:val="24"/>
          <w:szCs w:val="24"/>
          <w:lang w:eastAsia="tr-TR"/>
        </w:rPr>
        <w:t>(esans))</w:t>
      </w:r>
      <w:r w:rsidRPr="009F7F21">
        <w:rPr>
          <w:rFonts w:ascii="Times New Roman" w:eastAsia="Times New Roman" w:hAnsi="Times New Roman" w:cs="Times New Roman"/>
          <w:i/>
          <w:iCs/>
          <w:color w:val="000000"/>
          <w:sz w:val="24"/>
          <w:szCs w:val="24"/>
          <w:lang w:eastAsia="tr-TR"/>
        </w:rPr>
        <w:t xml:space="preserve"> </w:t>
      </w:r>
      <w:r w:rsidRPr="009F7F21">
        <w:rPr>
          <w:rFonts w:ascii="Times New Roman" w:eastAsia="Times New Roman" w:hAnsi="Times New Roman" w:cs="Times New Roman"/>
          <w:color w:val="000000"/>
          <w:sz w:val="24"/>
          <w:szCs w:val="24"/>
          <w:lang w:eastAsia="tr-TR"/>
        </w:rPr>
        <w:t>kısımlarına yer verilmiştir (MDS, 2018).</w:t>
      </w:r>
    </w:p>
    <w:p w14:paraId="5344E936" w14:textId="77777777" w:rsidR="009F7F21" w:rsidRDefault="009F7F21" w:rsidP="009C516A">
      <w:pPr>
        <w:pStyle w:val="NormalWeb"/>
        <w:spacing w:before="120" w:beforeAutospacing="0" w:after="120" w:afterAutospacing="0" w:line="276" w:lineRule="auto"/>
        <w:ind w:firstLine="720"/>
        <w:jc w:val="both"/>
        <w:rPr>
          <w:color w:val="252525"/>
          <w:shd w:val="clear" w:color="auto" w:fill="FFFFFF"/>
        </w:rPr>
      </w:pPr>
    </w:p>
    <w:p w14:paraId="5B9169EE" w14:textId="77777777" w:rsidR="00C8498E" w:rsidRDefault="00C8498E" w:rsidP="009C516A">
      <w:pPr>
        <w:pStyle w:val="NormalWeb"/>
        <w:spacing w:before="120" w:beforeAutospacing="0" w:after="120" w:afterAutospacing="0" w:line="276" w:lineRule="auto"/>
        <w:ind w:firstLine="709"/>
        <w:jc w:val="both"/>
        <w:rPr>
          <w:b/>
          <w:bCs/>
          <w:color w:val="252525"/>
          <w:shd w:val="clear" w:color="auto" w:fill="FFFFFF"/>
        </w:rPr>
        <w:sectPr w:rsidR="00C8498E">
          <w:pgSz w:w="11906" w:h="16838"/>
          <w:pgMar w:top="1417" w:right="1417" w:bottom="1417" w:left="1417" w:header="708" w:footer="708" w:gutter="0"/>
          <w:cols w:space="708"/>
          <w:docGrid w:linePitch="360"/>
        </w:sectPr>
      </w:pPr>
    </w:p>
    <w:p w14:paraId="47ED3B9D" w14:textId="0A5E37DA" w:rsidR="009F7F21" w:rsidRPr="009F7F21" w:rsidRDefault="009F7F21" w:rsidP="009C516A">
      <w:pPr>
        <w:pStyle w:val="NormalWeb"/>
        <w:spacing w:before="120" w:beforeAutospacing="0" w:after="120" w:afterAutospacing="0" w:line="276" w:lineRule="auto"/>
        <w:ind w:firstLine="709"/>
        <w:jc w:val="both"/>
        <w:rPr>
          <w:b/>
          <w:bCs/>
          <w:color w:val="252525"/>
          <w:shd w:val="clear" w:color="auto" w:fill="FFFFFF"/>
        </w:rPr>
      </w:pPr>
      <w:r w:rsidRPr="009F7F21">
        <w:rPr>
          <w:b/>
          <w:bCs/>
          <w:color w:val="252525"/>
          <w:shd w:val="clear" w:color="auto" w:fill="FFFFFF"/>
        </w:rPr>
        <w:lastRenderedPageBreak/>
        <w:t>SONUÇ VE ÖNERİLER</w:t>
      </w:r>
    </w:p>
    <w:p w14:paraId="45E9E790" w14:textId="7656092F" w:rsidR="009F7F21" w:rsidRPr="001A369E" w:rsidRDefault="009F7F21" w:rsidP="001A369E">
      <w:pPr>
        <w:pStyle w:val="NormalWeb"/>
        <w:spacing w:line="276" w:lineRule="auto"/>
        <w:ind w:firstLine="708"/>
        <w:jc w:val="both"/>
      </w:pPr>
      <w:proofErr w:type="spellStart"/>
      <w:r>
        <w:rPr>
          <w:rStyle w:val="Vurgu"/>
        </w:rPr>
        <w:t>Cymbopogon</w:t>
      </w:r>
      <w:proofErr w:type="spellEnd"/>
      <w:r>
        <w:rPr>
          <w:rStyle w:val="Vurgu"/>
        </w:rPr>
        <w:t xml:space="preserve"> martini</w:t>
      </w:r>
      <w:r>
        <w:t xml:space="preserve"> bitkisinden elde edilen uçucu yağın %70’in üzerinde </w:t>
      </w:r>
      <w:proofErr w:type="spellStart"/>
      <w:r>
        <w:t>geraniol</w:t>
      </w:r>
      <w:proofErr w:type="spellEnd"/>
      <w:r>
        <w:t xml:space="preserve"> içerdiği bildirilmektedir (</w:t>
      </w:r>
      <w:proofErr w:type="spellStart"/>
      <w:r>
        <w:t>Api</w:t>
      </w:r>
      <w:proofErr w:type="spellEnd"/>
      <w:r>
        <w:t xml:space="preserve"> ve ark., 2022).</w:t>
      </w:r>
      <w:r w:rsidR="000C07C9">
        <w:t xml:space="preserve"> </w:t>
      </w:r>
      <w:proofErr w:type="spellStart"/>
      <w:r w:rsidR="000C07C9">
        <w:t>Geraniol</w:t>
      </w:r>
      <w:proofErr w:type="spellEnd"/>
      <w:r w:rsidR="000C07C9">
        <w:t xml:space="preserve"> ile ilgili literatürde yer alan </w:t>
      </w:r>
      <w:proofErr w:type="spellStart"/>
      <w:r w:rsidR="000C07C9">
        <w:t>toksikolojik</w:t>
      </w:r>
      <w:proofErr w:type="spellEnd"/>
      <w:r w:rsidR="000C07C9">
        <w:t xml:space="preserve"> çalışmalar incelendiğinde </w:t>
      </w:r>
      <w:proofErr w:type="spellStart"/>
      <w:r w:rsidR="000C07C9">
        <w:t>toksisitesinin</w:t>
      </w:r>
      <w:proofErr w:type="spellEnd"/>
      <w:r w:rsidR="000C07C9">
        <w:t xml:space="preserve"> düşük olduğu değerlendirilmektedir. </w:t>
      </w:r>
      <w:proofErr w:type="spellStart"/>
      <w:r w:rsidR="000C07C9">
        <w:t>Geraniolün</w:t>
      </w:r>
      <w:proofErr w:type="spellEnd"/>
      <w:r w:rsidR="000C07C9">
        <w:t xml:space="preserve"> dünya genelinde gıda sektöründe aroma vericisi ve gıda katkı maddesi olarak kullanımı bulunduğu tespit edilmiştir. </w:t>
      </w:r>
      <w:proofErr w:type="spellStart"/>
      <w:r>
        <w:t>Geraniol</w:t>
      </w:r>
      <w:proofErr w:type="spellEnd"/>
      <w:r>
        <w:t xml:space="preserve"> için </w:t>
      </w:r>
      <w:r w:rsidR="00864D2C">
        <w:t xml:space="preserve">WHO ve EFSA tarafından </w:t>
      </w:r>
      <w:r>
        <w:t xml:space="preserve">ADI değeri 0,5 mg/kg vücut ağırlığı olarak belirlenmiştir. Bu değerden hareketle, 70 kg ağırlığında sağlıklı bir yetişkin için günlük kabul edilebilir alım miktarı </w:t>
      </w:r>
      <w:r w:rsidRPr="001A369E">
        <w:t xml:space="preserve">yaklaşık </w:t>
      </w:r>
      <w:r w:rsidRPr="001A369E">
        <w:rPr>
          <w:rStyle w:val="Gl"/>
          <w:b w:val="0"/>
        </w:rPr>
        <w:t>35 mg</w:t>
      </w:r>
      <w:r w:rsidRPr="001A369E">
        <w:t xml:space="preserve"> olarak hesaplanmaktadır.</w:t>
      </w:r>
      <w:r w:rsidR="00691598" w:rsidRPr="001A369E">
        <w:t xml:space="preserve"> Ayrıca; u</w:t>
      </w:r>
      <w:r w:rsidRPr="001A369E">
        <w:t xml:space="preserve">çucu yağların seyreltilmeden veya uygun bir taşıyıcı olmadan dahilen kullanımı, ağız ve </w:t>
      </w:r>
      <w:proofErr w:type="spellStart"/>
      <w:r w:rsidRPr="001A369E">
        <w:t>gastrointestinal</w:t>
      </w:r>
      <w:proofErr w:type="spellEnd"/>
      <w:r w:rsidRPr="001A369E">
        <w:t xml:space="preserve"> mukozada </w:t>
      </w:r>
      <w:proofErr w:type="spellStart"/>
      <w:r w:rsidRPr="001A369E">
        <w:t>irritasyon</w:t>
      </w:r>
      <w:proofErr w:type="spellEnd"/>
      <w:r w:rsidRPr="001A369E">
        <w:t xml:space="preserve"> ve hasara yol açabilmektedir. Bu nedenle doğrudan (</w:t>
      </w:r>
      <w:r w:rsidR="004D1731" w:rsidRPr="001A369E">
        <w:t>seyreltilmeden</w:t>
      </w:r>
      <w:r w:rsidRPr="001A369E">
        <w:t>) oral kullanım önerilmemektedir (</w:t>
      </w:r>
      <w:proofErr w:type="spellStart"/>
      <w:r w:rsidR="00691598" w:rsidRPr="001A369E">
        <w:rPr>
          <w:color w:val="000000"/>
        </w:rPr>
        <w:t>Tisserand</w:t>
      </w:r>
      <w:proofErr w:type="spellEnd"/>
      <w:r w:rsidR="00691598" w:rsidRPr="001A369E">
        <w:rPr>
          <w:color w:val="000000"/>
        </w:rPr>
        <w:t xml:space="preserve">, 2013, </w:t>
      </w:r>
      <w:proofErr w:type="spellStart"/>
      <w:r w:rsidRPr="001A369E">
        <w:t>Api</w:t>
      </w:r>
      <w:proofErr w:type="spellEnd"/>
      <w:r w:rsidRPr="001A369E">
        <w:t xml:space="preserve"> ve ark., 2022).</w:t>
      </w:r>
    </w:p>
    <w:p w14:paraId="22007B0F" w14:textId="7152AA83" w:rsidR="001313C5" w:rsidRDefault="009F7F21" w:rsidP="001A369E">
      <w:pPr>
        <w:pStyle w:val="NormalWeb"/>
        <w:spacing w:line="276" w:lineRule="auto"/>
        <w:ind w:firstLine="708"/>
        <w:jc w:val="both"/>
      </w:pPr>
      <w:r w:rsidRPr="001A369E">
        <w:t xml:space="preserve">Bu bilgiler doğrultusunda, </w:t>
      </w:r>
      <w:proofErr w:type="spellStart"/>
      <w:r w:rsidRPr="001A369E">
        <w:rPr>
          <w:rStyle w:val="Vurgu"/>
        </w:rPr>
        <w:t>Cymbopogon</w:t>
      </w:r>
      <w:proofErr w:type="spellEnd"/>
      <w:r w:rsidRPr="001A369E">
        <w:rPr>
          <w:rStyle w:val="Vurgu"/>
        </w:rPr>
        <w:t xml:space="preserve"> martini</w:t>
      </w:r>
      <w:r w:rsidRPr="001A369E">
        <w:t xml:space="preserve"> </w:t>
      </w:r>
      <w:r w:rsidR="006F709C" w:rsidRPr="001A369E">
        <w:rPr>
          <w:color w:val="000000"/>
        </w:rPr>
        <w:t>(</w:t>
      </w:r>
      <w:proofErr w:type="spellStart"/>
      <w:r w:rsidR="006F709C" w:rsidRPr="001A369E">
        <w:rPr>
          <w:color w:val="000000"/>
        </w:rPr>
        <w:t>Roxb</w:t>
      </w:r>
      <w:proofErr w:type="spellEnd"/>
      <w:r w:rsidR="006F709C" w:rsidRPr="001A369E">
        <w:rPr>
          <w:color w:val="000000"/>
        </w:rPr>
        <w:t xml:space="preserve">.) </w:t>
      </w:r>
      <w:proofErr w:type="spellStart"/>
      <w:r w:rsidR="006F709C" w:rsidRPr="001A369E">
        <w:rPr>
          <w:color w:val="000000"/>
        </w:rPr>
        <w:t>Will</w:t>
      </w:r>
      <w:proofErr w:type="spellEnd"/>
      <w:r w:rsidR="006F709C" w:rsidRPr="001A369E">
        <w:rPr>
          <w:color w:val="000000"/>
        </w:rPr>
        <w:t>. Watson</w:t>
      </w:r>
      <w:r w:rsidR="006F709C" w:rsidRPr="001A369E">
        <w:t xml:space="preserve"> </w:t>
      </w:r>
      <w:r w:rsidRPr="001A369E">
        <w:t>(</w:t>
      </w:r>
      <w:proofErr w:type="spellStart"/>
      <w:r w:rsidRPr="001A369E">
        <w:t>palmaro</w:t>
      </w:r>
      <w:r w:rsidR="00691598" w:rsidRPr="001A369E">
        <w:t>z</w:t>
      </w:r>
      <w:r w:rsidRPr="001A369E">
        <w:t>a</w:t>
      </w:r>
      <w:proofErr w:type="spellEnd"/>
      <w:r w:rsidRPr="001A369E">
        <w:t xml:space="preserve">) uçucu yağının uygun bir taşıyıcı içerisinde ve kontrollü dozlarda, örneğin </w:t>
      </w:r>
      <w:proofErr w:type="spellStart"/>
      <w:r w:rsidRPr="001A369E">
        <w:t>enterik</w:t>
      </w:r>
      <w:proofErr w:type="spellEnd"/>
      <w:r w:rsidRPr="001A369E">
        <w:t xml:space="preserve"> kaplı </w:t>
      </w:r>
      <w:proofErr w:type="spellStart"/>
      <w:r w:rsidRPr="001A369E">
        <w:t>formülasyonlar</w:t>
      </w:r>
      <w:proofErr w:type="spellEnd"/>
      <w:r w:rsidRPr="001A369E">
        <w:t xml:space="preserve"> şeklinde</w:t>
      </w:r>
      <w:r w:rsidR="006F709C" w:rsidRPr="001A369E">
        <w:t xml:space="preserve"> sadece</w:t>
      </w:r>
      <w:r w:rsidRPr="001A369E">
        <w:t xml:space="preserve"> takviye edici gıda </w:t>
      </w:r>
      <w:r w:rsidR="001313C5" w:rsidRPr="001A369E">
        <w:t>o</w:t>
      </w:r>
      <w:r w:rsidR="006F709C" w:rsidRPr="001A369E">
        <w:t>larak kullanılması ve bu bitkiyi içeren ürünler</w:t>
      </w:r>
      <w:r w:rsidR="004E6787" w:rsidRPr="001A369E">
        <w:t xml:space="preserve">in tüketilmesi sonucunda </w:t>
      </w:r>
      <w:r w:rsidRPr="001A369E">
        <w:t xml:space="preserve">günlük toplam </w:t>
      </w:r>
      <w:proofErr w:type="spellStart"/>
      <w:r w:rsidRPr="001A369E">
        <w:t>geraniol</w:t>
      </w:r>
      <w:proofErr w:type="spellEnd"/>
      <w:r w:rsidRPr="001A369E">
        <w:t xml:space="preserve"> alım miktarının </w:t>
      </w:r>
      <w:r w:rsidRPr="001A369E">
        <w:rPr>
          <w:rStyle w:val="Gl"/>
          <w:b w:val="0"/>
        </w:rPr>
        <w:t>35 mg’ı aşmaması</w:t>
      </w:r>
      <w:r>
        <w:t xml:space="preserve"> gerekt</w:t>
      </w:r>
      <w:r w:rsidR="00864D2C">
        <w:t xml:space="preserve">iği sonucuna varılmıştır. </w:t>
      </w:r>
      <w:r>
        <w:t xml:space="preserve">Ayrıca, mevcut bilimsel verilerin sınırlı olması nedeniyle bu ürünü içeren gıdaların </w:t>
      </w:r>
      <w:r w:rsidR="0065154C">
        <w:t>h</w:t>
      </w:r>
      <w:r w:rsidR="004E6787">
        <w:t>amileler, emzirenler ve 18 yaş altındaki bireyler tarafından kullanılmama</w:t>
      </w:r>
      <w:r w:rsidR="0065154C">
        <w:t>sı gerektiği değerlendirilmektedir.</w:t>
      </w:r>
      <w:r w:rsidR="00A41688">
        <w:t xml:space="preserve"> </w:t>
      </w:r>
    </w:p>
    <w:p w14:paraId="029DE1E0" w14:textId="70485F33" w:rsidR="009F7F21" w:rsidRPr="00FC6DFA" w:rsidRDefault="0065154C" w:rsidP="00FC6DFA">
      <w:pPr>
        <w:pStyle w:val="NormalWeb"/>
        <w:spacing w:line="276" w:lineRule="auto"/>
        <w:ind w:firstLine="708"/>
        <w:jc w:val="both"/>
      </w:pPr>
      <w:proofErr w:type="spellStart"/>
      <w:r w:rsidRPr="00FC6DFA">
        <w:rPr>
          <w:rStyle w:val="Vurgu"/>
        </w:rPr>
        <w:t>Cymbopogon</w:t>
      </w:r>
      <w:proofErr w:type="spellEnd"/>
      <w:r w:rsidRPr="00FC6DFA">
        <w:rPr>
          <w:rStyle w:val="Vurgu"/>
        </w:rPr>
        <w:t xml:space="preserve"> martini</w:t>
      </w:r>
      <w:r w:rsidRPr="00FC6DFA">
        <w:t xml:space="preserve"> </w:t>
      </w:r>
      <w:r w:rsidR="001313C5" w:rsidRPr="00FC6DFA">
        <w:t>bitkisinin uçucu yağı</w:t>
      </w:r>
      <w:r w:rsidR="004D1731" w:rsidRPr="00FC6DFA">
        <w:t>;</w:t>
      </w:r>
      <w:r w:rsidR="00F4407E" w:rsidRPr="00FC6DFA">
        <w:t xml:space="preserve"> </w:t>
      </w:r>
      <w:r w:rsidRPr="00FC6DFA">
        <w:t xml:space="preserve">“Sadece takviye edici gıdalarda ve </w:t>
      </w:r>
      <w:proofErr w:type="spellStart"/>
      <w:r w:rsidRPr="00FC6DFA">
        <w:t>enter</w:t>
      </w:r>
      <w:r w:rsidR="00723FB8" w:rsidRPr="00FC6DFA">
        <w:t>ik</w:t>
      </w:r>
      <w:proofErr w:type="spellEnd"/>
      <w:r w:rsidR="00723FB8" w:rsidRPr="00FC6DFA">
        <w:t xml:space="preserve"> kaplı şekilde kullanılabilir,</w:t>
      </w:r>
      <w:r w:rsidRPr="00FC6DFA">
        <w:t xml:space="preserve"> günlük </w:t>
      </w:r>
      <w:proofErr w:type="spellStart"/>
      <w:r w:rsidRPr="00FC6DFA">
        <w:t>geraniol</w:t>
      </w:r>
      <w:proofErr w:type="spellEnd"/>
      <w:r w:rsidRPr="00FC6DFA">
        <w:t xml:space="preserve"> alım miktarı 35 miligramı aşmamalıdır. Bu bitkiyi içeren ürünlerin etiketinde “Hamileler, emzirenler ve 18 yaşın altındaki bireyler </w:t>
      </w:r>
      <w:r w:rsidR="001313C5" w:rsidRPr="00FC6DFA">
        <w:t>tarafından kullanılmamalıdır.” u</w:t>
      </w:r>
      <w:r w:rsidRPr="00FC6DFA">
        <w:t>yarısı yer almalıdır.”</w:t>
      </w:r>
      <w:r w:rsidR="004E6787" w:rsidRPr="00FC6DFA">
        <w:t xml:space="preserve"> koşul</w:t>
      </w:r>
      <w:r w:rsidR="004D1731" w:rsidRPr="00FC6DFA">
        <w:t>uyla</w:t>
      </w:r>
      <w:r w:rsidR="004E6787" w:rsidRPr="00FC6DFA">
        <w:t xml:space="preserve"> Bitki Listesinde pozitif (P) olarak yer alması yönünde tavsiye kararı alınmıştır.</w:t>
      </w:r>
    </w:p>
    <w:p w14:paraId="74F9C589" w14:textId="77777777" w:rsidR="00FC6DFA" w:rsidRDefault="00FC6DFA" w:rsidP="00FC6DFA">
      <w:pPr>
        <w:pStyle w:val="NormalWeb"/>
        <w:spacing w:before="120" w:beforeAutospacing="0" w:after="120" w:afterAutospacing="0" w:line="276" w:lineRule="auto"/>
        <w:jc w:val="both"/>
        <w:rPr>
          <w:b/>
          <w:bCs/>
          <w:color w:val="000000"/>
        </w:rPr>
      </w:pPr>
    </w:p>
    <w:p w14:paraId="07DE8BC9" w14:textId="77777777" w:rsidR="00BA4560" w:rsidRDefault="00BA4560" w:rsidP="00FC6DFA">
      <w:pPr>
        <w:pStyle w:val="NormalWeb"/>
        <w:spacing w:before="120" w:beforeAutospacing="0" w:after="120" w:afterAutospacing="0" w:line="276" w:lineRule="auto"/>
        <w:jc w:val="both"/>
        <w:rPr>
          <w:b/>
          <w:bCs/>
          <w:color w:val="000000"/>
        </w:rPr>
      </w:pPr>
    </w:p>
    <w:p w14:paraId="04A741A4" w14:textId="77777777" w:rsidR="00BA4560" w:rsidRDefault="00BA4560" w:rsidP="00FC6DFA">
      <w:pPr>
        <w:pStyle w:val="NormalWeb"/>
        <w:spacing w:before="120" w:beforeAutospacing="0" w:after="120" w:afterAutospacing="0" w:line="276" w:lineRule="auto"/>
        <w:jc w:val="both"/>
        <w:rPr>
          <w:b/>
          <w:bCs/>
          <w:color w:val="000000"/>
        </w:rPr>
      </w:pPr>
    </w:p>
    <w:p w14:paraId="1FB252EF" w14:textId="77777777" w:rsidR="00BA4560" w:rsidRDefault="00BA4560" w:rsidP="00FC6DFA">
      <w:pPr>
        <w:pStyle w:val="NormalWeb"/>
        <w:spacing w:before="120" w:beforeAutospacing="0" w:after="120" w:afterAutospacing="0" w:line="276" w:lineRule="auto"/>
        <w:jc w:val="both"/>
        <w:rPr>
          <w:b/>
          <w:bCs/>
          <w:color w:val="000000"/>
        </w:rPr>
      </w:pPr>
    </w:p>
    <w:p w14:paraId="6B26C03D" w14:textId="77777777" w:rsidR="00BA4560" w:rsidRDefault="00BA4560" w:rsidP="00FC6DFA">
      <w:pPr>
        <w:pStyle w:val="NormalWeb"/>
        <w:spacing w:before="120" w:beforeAutospacing="0" w:after="120" w:afterAutospacing="0" w:line="276" w:lineRule="auto"/>
        <w:jc w:val="both"/>
        <w:rPr>
          <w:b/>
          <w:bCs/>
          <w:color w:val="000000"/>
        </w:rPr>
      </w:pPr>
    </w:p>
    <w:p w14:paraId="386598A3" w14:textId="77777777" w:rsidR="00BA4560" w:rsidRDefault="00BA4560" w:rsidP="00FC6DFA">
      <w:pPr>
        <w:pStyle w:val="NormalWeb"/>
        <w:spacing w:before="120" w:beforeAutospacing="0" w:after="120" w:afterAutospacing="0" w:line="276" w:lineRule="auto"/>
        <w:jc w:val="both"/>
        <w:rPr>
          <w:b/>
          <w:bCs/>
          <w:color w:val="000000"/>
        </w:rPr>
      </w:pPr>
    </w:p>
    <w:p w14:paraId="2FAD3E71" w14:textId="77777777" w:rsidR="00BA4560" w:rsidRDefault="00BA4560" w:rsidP="00FC6DFA">
      <w:pPr>
        <w:pStyle w:val="NormalWeb"/>
        <w:spacing w:before="120" w:beforeAutospacing="0" w:after="120" w:afterAutospacing="0" w:line="276" w:lineRule="auto"/>
        <w:jc w:val="both"/>
        <w:rPr>
          <w:b/>
          <w:bCs/>
          <w:color w:val="000000"/>
        </w:rPr>
      </w:pPr>
    </w:p>
    <w:p w14:paraId="77993CB7" w14:textId="77777777" w:rsidR="00BA4560" w:rsidRDefault="00BA4560" w:rsidP="00FC6DFA">
      <w:pPr>
        <w:pStyle w:val="NormalWeb"/>
        <w:spacing w:before="120" w:beforeAutospacing="0" w:after="120" w:afterAutospacing="0" w:line="276" w:lineRule="auto"/>
        <w:jc w:val="both"/>
        <w:rPr>
          <w:b/>
          <w:bCs/>
          <w:color w:val="000000"/>
        </w:rPr>
      </w:pPr>
    </w:p>
    <w:p w14:paraId="4275262F" w14:textId="77777777" w:rsidR="00BA4560" w:rsidRDefault="00BA4560" w:rsidP="00FC6DFA">
      <w:pPr>
        <w:pStyle w:val="NormalWeb"/>
        <w:spacing w:before="120" w:beforeAutospacing="0" w:after="120" w:afterAutospacing="0" w:line="276" w:lineRule="auto"/>
        <w:jc w:val="both"/>
        <w:rPr>
          <w:b/>
          <w:bCs/>
          <w:color w:val="000000"/>
        </w:rPr>
      </w:pPr>
    </w:p>
    <w:p w14:paraId="6BB79C41" w14:textId="77777777" w:rsidR="00BA4560" w:rsidRDefault="00BA4560" w:rsidP="00FC6DFA">
      <w:pPr>
        <w:pStyle w:val="NormalWeb"/>
        <w:spacing w:before="120" w:beforeAutospacing="0" w:after="120" w:afterAutospacing="0" w:line="276" w:lineRule="auto"/>
        <w:jc w:val="both"/>
        <w:rPr>
          <w:b/>
          <w:bCs/>
          <w:color w:val="000000"/>
        </w:rPr>
      </w:pPr>
    </w:p>
    <w:p w14:paraId="540F53EC" w14:textId="77777777" w:rsidR="00BA4560" w:rsidRDefault="00BA4560" w:rsidP="00FC6DFA">
      <w:pPr>
        <w:pStyle w:val="NormalWeb"/>
        <w:spacing w:before="120" w:beforeAutospacing="0" w:after="120" w:afterAutospacing="0" w:line="276" w:lineRule="auto"/>
        <w:jc w:val="both"/>
        <w:rPr>
          <w:b/>
          <w:bCs/>
          <w:color w:val="000000"/>
        </w:rPr>
      </w:pPr>
    </w:p>
    <w:p w14:paraId="022CBD98" w14:textId="77777777" w:rsidR="00BA4560" w:rsidRPr="00BA4560" w:rsidRDefault="00BA4560" w:rsidP="00BA4560">
      <w:pPr>
        <w:pStyle w:val="Balk1"/>
        <w:spacing w:before="0" w:line="276" w:lineRule="auto"/>
        <w:ind w:firstLine="708"/>
        <w:rPr>
          <w:rFonts w:ascii="Times New Roman" w:hAnsi="Times New Roman"/>
          <w:b/>
          <w:bCs/>
          <w:color w:val="auto"/>
          <w:sz w:val="24"/>
          <w:szCs w:val="24"/>
        </w:rPr>
      </w:pPr>
      <w:bookmarkStart w:id="0" w:name="_Toc375150514"/>
      <w:r w:rsidRPr="00BA4560">
        <w:rPr>
          <w:rFonts w:ascii="Times New Roman" w:hAnsi="Times New Roman"/>
          <w:b/>
          <w:bCs/>
          <w:color w:val="auto"/>
          <w:sz w:val="24"/>
          <w:szCs w:val="24"/>
        </w:rPr>
        <w:t>KISALTMALAR</w:t>
      </w:r>
      <w:bookmarkEnd w:id="0"/>
    </w:p>
    <w:p w14:paraId="09721D8E" w14:textId="77777777" w:rsidR="00BA4560" w:rsidRDefault="00BA4560" w:rsidP="00BA4560">
      <w:pPr>
        <w:jc w:val="both"/>
        <w:rPr>
          <w:sz w:val="24"/>
          <w:szCs w:val="24"/>
        </w:rPr>
      </w:pPr>
    </w:p>
    <w:tbl>
      <w:tblPr>
        <w:tblW w:w="9286" w:type="dxa"/>
        <w:tblInd w:w="108" w:type="dxa"/>
        <w:tblBorders>
          <w:top w:val="single" w:sz="4" w:space="0" w:color="EEEEF1"/>
          <w:left w:val="single" w:sz="4" w:space="0" w:color="EEEEF1"/>
          <w:bottom w:val="single" w:sz="4" w:space="0" w:color="EEEEF1"/>
          <w:right w:val="single" w:sz="4" w:space="0" w:color="EEEEF1"/>
          <w:insideH w:val="single" w:sz="4" w:space="0" w:color="EEEEF1"/>
          <w:insideV w:val="single" w:sz="4" w:space="0" w:color="EEEEF1"/>
        </w:tblBorders>
        <w:tblLook w:val="04A0" w:firstRow="1" w:lastRow="0" w:firstColumn="1" w:lastColumn="0" w:noHBand="0" w:noVBand="1"/>
      </w:tblPr>
      <w:tblGrid>
        <w:gridCol w:w="2110"/>
        <w:gridCol w:w="7176"/>
      </w:tblGrid>
      <w:tr w:rsidR="00BA4560" w:rsidRPr="00BA4560" w14:paraId="6A0169E2" w14:textId="77777777" w:rsidTr="00264418">
        <w:trPr>
          <w:cantSplit/>
          <w:trHeight w:val="582"/>
        </w:trPr>
        <w:tc>
          <w:tcPr>
            <w:tcW w:w="2110" w:type="dxa"/>
            <w:shd w:val="clear" w:color="auto" w:fill="auto"/>
          </w:tcPr>
          <w:p w14:paraId="79E47FF1" w14:textId="77777777" w:rsidR="00BA4560" w:rsidRPr="00BA4560" w:rsidRDefault="00BA4560" w:rsidP="00264418">
            <w:pPr>
              <w:spacing w:before="120" w:after="120" w:line="276" w:lineRule="auto"/>
              <w:jc w:val="both"/>
              <w:rPr>
                <w:rFonts w:ascii="Times New Roman" w:hAnsi="Times New Roman" w:cs="Times New Roman"/>
                <w:sz w:val="24"/>
                <w:szCs w:val="24"/>
              </w:rPr>
            </w:pPr>
            <w:r w:rsidRPr="00BA4560">
              <w:rPr>
                <w:rFonts w:ascii="Times New Roman" w:hAnsi="Times New Roman" w:cs="Times New Roman"/>
                <w:bCs/>
                <w:sz w:val="24"/>
                <w:szCs w:val="24"/>
              </w:rPr>
              <w:t>BMASGK</w:t>
            </w:r>
          </w:p>
        </w:tc>
        <w:tc>
          <w:tcPr>
            <w:tcW w:w="7176" w:type="dxa"/>
            <w:shd w:val="clear" w:color="auto" w:fill="auto"/>
          </w:tcPr>
          <w:p w14:paraId="4E0D2997" w14:textId="77777777" w:rsidR="00BA4560" w:rsidRPr="00BA4560" w:rsidRDefault="00BA4560" w:rsidP="00264418">
            <w:pPr>
              <w:rPr>
                <w:rFonts w:ascii="Times New Roman" w:hAnsi="Times New Roman" w:cs="Times New Roman"/>
                <w:sz w:val="24"/>
              </w:rPr>
            </w:pPr>
            <w:proofErr w:type="spellStart"/>
            <w:r w:rsidRPr="00BA4560">
              <w:rPr>
                <w:rFonts w:ascii="Times New Roman" w:hAnsi="Times New Roman" w:cs="Times New Roman"/>
                <w:sz w:val="24"/>
              </w:rPr>
              <w:t>Bundesministerium</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für</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Soziales</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Gesundheit</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Pflege</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und</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Konsumentenschutz</w:t>
            </w:r>
            <w:proofErr w:type="spellEnd"/>
          </w:p>
        </w:tc>
      </w:tr>
      <w:tr w:rsidR="00BA4560" w:rsidRPr="00BA4560" w14:paraId="7337C5A6" w14:textId="77777777" w:rsidTr="00264418">
        <w:trPr>
          <w:cantSplit/>
          <w:trHeight w:val="582"/>
        </w:trPr>
        <w:tc>
          <w:tcPr>
            <w:tcW w:w="2110" w:type="dxa"/>
            <w:shd w:val="clear" w:color="auto" w:fill="auto"/>
          </w:tcPr>
          <w:p w14:paraId="5347EFBF" w14:textId="77777777" w:rsidR="00BA4560" w:rsidRPr="00BA4560" w:rsidRDefault="00BA4560" w:rsidP="00264418">
            <w:pPr>
              <w:spacing w:before="120" w:after="120" w:line="276" w:lineRule="auto"/>
              <w:jc w:val="both"/>
              <w:rPr>
                <w:rFonts w:ascii="Times New Roman" w:hAnsi="Times New Roman" w:cs="Times New Roman"/>
                <w:sz w:val="24"/>
                <w:szCs w:val="24"/>
              </w:rPr>
            </w:pPr>
            <w:r w:rsidRPr="00BA4560">
              <w:rPr>
                <w:rFonts w:ascii="Times New Roman" w:hAnsi="Times New Roman" w:cs="Times New Roman"/>
                <w:bCs/>
                <w:sz w:val="24"/>
                <w:szCs w:val="24"/>
                <w:lang w:val="de-DE"/>
              </w:rPr>
              <w:t>BVL</w:t>
            </w:r>
          </w:p>
        </w:tc>
        <w:tc>
          <w:tcPr>
            <w:tcW w:w="7176" w:type="dxa"/>
            <w:shd w:val="clear" w:color="auto" w:fill="auto"/>
          </w:tcPr>
          <w:p w14:paraId="09C55AC4" w14:textId="77777777" w:rsidR="00BA4560" w:rsidRPr="00BA4560" w:rsidRDefault="00BA4560" w:rsidP="00264418">
            <w:pPr>
              <w:rPr>
                <w:rFonts w:ascii="Times New Roman" w:hAnsi="Times New Roman" w:cs="Times New Roman"/>
                <w:sz w:val="24"/>
              </w:rPr>
            </w:pPr>
            <w:proofErr w:type="spellStart"/>
            <w:r w:rsidRPr="00BA4560">
              <w:rPr>
                <w:rFonts w:ascii="Times New Roman" w:hAnsi="Times New Roman" w:cs="Times New Roman"/>
                <w:sz w:val="24"/>
              </w:rPr>
              <w:t>Bundesamt</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für</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Verbraucherschutz</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und</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Lebensmittelsicherheit</w:t>
            </w:r>
            <w:proofErr w:type="spellEnd"/>
            <w:r w:rsidRPr="00BA4560">
              <w:rPr>
                <w:rFonts w:ascii="Times New Roman" w:hAnsi="Times New Roman" w:cs="Times New Roman"/>
                <w:sz w:val="24"/>
              </w:rPr>
              <w:t xml:space="preserve"> (Almanya Tüketicinin Korunması ve Gıda Güvenliği Federal Ofisi) </w:t>
            </w:r>
          </w:p>
        </w:tc>
      </w:tr>
      <w:tr w:rsidR="00BA4560" w:rsidRPr="00BA4560" w14:paraId="1638F582" w14:textId="77777777" w:rsidTr="00264418">
        <w:trPr>
          <w:cantSplit/>
          <w:trHeight w:val="582"/>
        </w:trPr>
        <w:tc>
          <w:tcPr>
            <w:tcW w:w="2110" w:type="dxa"/>
            <w:shd w:val="clear" w:color="auto" w:fill="auto"/>
          </w:tcPr>
          <w:p w14:paraId="3DA67734" w14:textId="77777777" w:rsidR="00BA4560" w:rsidRPr="00BA4560" w:rsidRDefault="00BA4560" w:rsidP="00264418">
            <w:pPr>
              <w:spacing w:before="120" w:after="120" w:line="276" w:lineRule="auto"/>
              <w:jc w:val="both"/>
              <w:rPr>
                <w:rFonts w:ascii="Times New Roman" w:hAnsi="Times New Roman" w:cs="Times New Roman"/>
                <w:sz w:val="24"/>
                <w:szCs w:val="24"/>
              </w:rPr>
            </w:pPr>
            <w:r w:rsidRPr="00BA4560">
              <w:rPr>
                <w:rFonts w:ascii="Times New Roman" w:hAnsi="Times New Roman" w:cs="Times New Roman"/>
                <w:sz w:val="24"/>
                <w:szCs w:val="24"/>
              </w:rPr>
              <w:t>CR</w:t>
            </w:r>
          </w:p>
        </w:tc>
        <w:tc>
          <w:tcPr>
            <w:tcW w:w="7176" w:type="dxa"/>
            <w:shd w:val="clear" w:color="auto" w:fill="auto"/>
          </w:tcPr>
          <w:p w14:paraId="3637D025" w14:textId="77777777" w:rsidR="00BA4560" w:rsidRPr="00BA4560" w:rsidRDefault="00BA4560" w:rsidP="00264418">
            <w:pPr>
              <w:rPr>
                <w:rFonts w:ascii="Times New Roman" w:hAnsi="Times New Roman" w:cs="Times New Roman"/>
                <w:sz w:val="24"/>
              </w:rPr>
            </w:pPr>
            <w:proofErr w:type="spellStart"/>
            <w:r w:rsidRPr="00BA4560">
              <w:rPr>
                <w:rFonts w:ascii="Times New Roman" w:hAnsi="Times New Roman" w:cs="Times New Roman"/>
                <w:sz w:val="24"/>
              </w:rPr>
              <w:t>Czhech</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Republika</w:t>
            </w:r>
            <w:proofErr w:type="spellEnd"/>
            <w:r w:rsidRPr="00BA4560">
              <w:rPr>
                <w:rFonts w:ascii="Times New Roman" w:hAnsi="Times New Roman" w:cs="Times New Roman"/>
                <w:sz w:val="24"/>
              </w:rPr>
              <w:t xml:space="preserve"> (Çek Cumhuriyeti)</w:t>
            </w:r>
          </w:p>
        </w:tc>
      </w:tr>
      <w:tr w:rsidR="00BA4560" w:rsidRPr="00BA4560" w14:paraId="50670C96" w14:textId="77777777" w:rsidTr="00264418">
        <w:trPr>
          <w:cantSplit/>
          <w:trHeight w:val="582"/>
        </w:trPr>
        <w:tc>
          <w:tcPr>
            <w:tcW w:w="2110" w:type="dxa"/>
            <w:shd w:val="clear" w:color="auto" w:fill="auto"/>
          </w:tcPr>
          <w:p w14:paraId="222F3C71" w14:textId="77777777" w:rsidR="00BA4560" w:rsidRPr="00BA4560" w:rsidRDefault="00BA4560" w:rsidP="00264418">
            <w:pPr>
              <w:spacing w:before="120" w:after="120" w:line="276" w:lineRule="auto"/>
              <w:jc w:val="both"/>
              <w:rPr>
                <w:rFonts w:ascii="Times New Roman" w:hAnsi="Times New Roman" w:cs="Times New Roman"/>
                <w:sz w:val="24"/>
                <w:szCs w:val="24"/>
              </w:rPr>
            </w:pPr>
            <w:r w:rsidRPr="00BA4560">
              <w:rPr>
                <w:rFonts w:ascii="Times New Roman" w:hAnsi="Times New Roman" w:cs="Times New Roman"/>
                <w:sz w:val="24"/>
                <w:szCs w:val="24"/>
              </w:rPr>
              <w:t>DGCCRF</w:t>
            </w:r>
          </w:p>
        </w:tc>
        <w:tc>
          <w:tcPr>
            <w:tcW w:w="7176" w:type="dxa"/>
            <w:shd w:val="clear" w:color="auto" w:fill="auto"/>
          </w:tcPr>
          <w:p w14:paraId="092E8815" w14:textId="77777777" w:rsidR="00BA4560" w:rsidRPr="00BA4560" w:rsidRDefault="00BA4560" w:rsidP="00264418">
            <w:pPr>
              <w:rPr>
                <w:rFonts w:ascii="Times New Roman" w:hAnsi="Times New Roman" w:cs="Times New Roman"/>
                <w:sz w:val="24"/>
              </w:rPr>
            </w:pPr>
            <w:proofErr w:type="spellStart"/>
            <w:r w:rsidRPr="00BA4560">
              <w:rPr>
                <w:rFonts w:ascii="Times New Roman" w:hAnsi="Times New Roman" w:cs="Times New Roman"/>
                <w:sz w:val="24"/>
              </w:rPr>
              <w:t>Direction</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générale</w:t>
            </w:r>
            <w:proofErr w:type="spellEnd"/>
            <w:r w:rsidRPr="00BA4560">
              <w:rPr>
                <w:rFonts w:ascii="Times New Roman" w:hAnsi="Times New Roman" w:cs="Times New Roman"/>
                <w:sz w:val="24"/>
              </w:rPr>
              <w:t xml:space="preserve"> de la </w:t>
            </w:r>
            <w:proofErr w:type="spellStart"/>
            <w:proofErr w:type="gramStart"/>
            <w:r w:rsidRPr="00BA4560">
              <w:rPr>
                <w:rFonts w:ascii="Times New Roman" w:hAnsi="Times New Roman" w:cs="Times New Roman"/>
                <w:sz w:val="24"/>
              </w:rPr>
              <w:t>concurrence</w:t>
            </w:r>
            <w:proofErr w:type="spellEnd"/>
            <w:r w:rsidRPr="00BA4560">
              <w:rPr>
                <w:rFonts w:ascii="Times New Roman" w:hAnsi="Times New Roman" w:cs="Times New Roman"/>
                <w:sz w:val="24"/>
              </w:rPr>
              <w:t>,</w:t>
            </w:r>
            <w:proofErr w:type="gramEnd"/>
            <w:r w:rsidRPr="00BA4560">
              <w:rPr>
                <w:rFonts w:ascii="Times New Roman" w:hAnsi="Times New Roman" w:cs="Times New Roman"/>
                <w:sz w:val="24"/>
              </w:rPr>
              <w:t xml:space="preserve"> de la </w:t>
            </w:r>
            <w:proofErr w:type="spellStart"/>
            <w:r w:rsidRPr="00BA4560">
              <w:rPr>
                <w:rFonts w:ascii="Times New Roman" w:hAnsi="Times New Roman" w:cs="Times New Roman"/>
                <w:sz w:val="24"/>
              </w:rPr>
              <w:t>consommation</w:t>
            </w:r>
            <w:proofErr w:type="spellEnd"/>
            <w:r w:rsidRPr="00BA4560">
              <w:rPr>
                <w:rFonts w:ascii="Times New Roman" w:hAnsi="Times New Roman" w:cs="Times New Roman"/>
                <w:sz w:val="24"/>
              </w:rPr>
              <w:t xml:space="preserve"> et de la </w:t>
            </w:r>
            <w:proofErr w:type="spellStart"/>
            <w:r w:rsidRPr="00BA4560">
              <w:rPr>
                <w:rFonts w:ascii="Times New Roman" w:hAnsi="Times New Roman" w:cs="Times New Roman"/>
                <w:sz w:val="24"/>
              </w:rPr>
              <w:t>répression</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des</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fraudes</w:t>
            </w:r>
            <w:proofErr w:type="spellEnd"/>
          </w:p>
          <w:p w14:paraId="5927369D" w14:textId="77777777" w:rsidR="00BA4560" w:rsidRPr="00BA4560" w:rsidRDefault="00BA4560" w:rsidP="00264418">
            <w:pPr>
              <w:rPr>
                <w:rFonts w:ascii="Times New Roman" w:hAnsi="Times New Roman" w:cs="Times New Roman"/>
                <w:sz w:val="24"/>
              </w:rPr>
            </w:pPr>
          </w:p>
        </w:tc>
      </w:tr>
      <w:tr w:rsidR="00BA4560" w:rsidRPr="00BA4560" w14:paraId="4D7C8B15" w14:textId="77777777" w:rsidTr="00264418">
        <w:trPr>
          <w:cantSplit/>
          <w:trHeight w:val="582"/>
        </w:trPr>
        <w:tc>
          <w:tcPr>
            <w:tcW w:w="2110" w:type="dxa"/>
            <w:shd w:val="clear" w:color="auto" w:fill="auto"/>
          </w:tcPr>
          <w:p w14:paraId="1C5AB162" w14:textId="77777777" w:rsidR="00BA4560" w:rsidRPr="00BA4560" w:rsidRDefault="00BA4560" w:rsidP="00264418">
            <w:pPr>
              <w:spacing w:before="120" w:after="120" w:line="276" w:lineRule="auto"/>
              <w:jc w:val="both"/>
              <w:rPr>
                <w:rFonts w:ascii="Times New Roman" w:hAnsi="Times New Roman" w:cs="Times New Roman"/>
                <w:sz w:val="24"/>
                <w:szCs w:val="24"/>
              </w:rPr>
            </w:pPr>
            <w:r w:rsidRPr="00BA4560">
              <w:rPr>
                <w:rFonts w:ascii="Times New Roman" w:hAnsi="Times New Roman" w:cs="Times New Roman"/>
                <w:sz w:val="24"/>
                <w:szCs w:val="24"/>
              </w:rPr>
              <w:t>DTU</w:t>
            </w:r>
          </w:p>
        </w:tc>
        <w:tc>
          <w:tcPr>
            <w:tcW w:w="7176" w:type="dxa"/>
            <w:shd w:val="clear" w:color="auto" w:fill="auto"/>
          </w:tcPr>
          <w:p w14:paraId="5E53BCBD" w14:textId="77777777" w:rsidR="00BA4560" w:rsidRPr="00BA4560" w:rsidRDefault="00BA4560" w:rsidP="00264418">
            <w:pPr>
              <w:rPr>
                <w:rFonts w:ascii="Times New Roman" w:hAnsi="Times New Roman" w:cs="Times New Roman"/>
                <w:sz w:val="24"/>
              </w:rPr>
            </w:pPr>
            <w:proofErr w:type="spellStart"/>
            <w:r w:rsidRPr="00BA4560">
              <w:rPr>
                <w:rFonts w:ascii="Times New Roman" w:hAnsi="Times New Roman" w:cs="Times New Roman"/>
                <w:sz w:val="24"/>
              </w:rPr>
              <w:t>Danmarks</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Tekniske</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Universitet</w:t>
            </w:r>
            <w:proofErr w:type="spellEnd"/>
            <w:r w:rsidRPr="00BA4560">
              <w:rPr>
                <w:rFonts w:ascii="Times New Roman" w:hAnsi="Times New Roman" w:cs="Times New Roman"/>
                <w:sz w:val="24"/>
              </w:rPr>
              <w:t xml:space="preserve"> (Danimarka Teknik Üniversitesi)</w:t>
            </w:r>
          </w:p>
        </w:tc>
      </w:tr>
      <w:tr w:rsidR="00BA4560" w:rsidRPr="00BA4560" w14:paraId="1B2D4864" w14:textId="77777777" w:rsidTr="00264418">
        <w:trPr>
          <w:cantSplit/>
          <w:trHeight w:val="582"/>
        </w:trPr>
        <w:tc>
          <w:tcPr>
            <w:tcW w:w="2110" w:type="dxa"/>
            <w:shd w:val="clear" w:color="auto" w:fill="auto"/>
          </w:tcPr>
          <w:p w14:paraId="3DF07819" w14:textId="77777777" w:rsidR="00BA4560" w:rsidRPr="00BA4560" w:rsidRDefault="00BA4560" w:rsidP="00264418">
            <w:pPr>
              <w:spacing w:before="120" w:after="120" w:line="276" w:lineRule="auto"/>
              <w:jc w:val="both"/>
              <w:rPr>
                <w:rFonts w:ascii="Times New Roman" w:hAnsi="Times New Roman" w:cs="Times New Roman"/>
                <w:sz w:val="24"/>
                <w:szCs w:val="24"/>
              </w:rPr>
            </w:pPr>
            <w:r w:rsidRPr="00BA4560">
              <w:rPr>
                <w:rFonts w:ascii="Times New Roman" w:hAnsi="Times New Roman" w:cs="Times New Roman"/>
                <w:sz w:val="24"/>
                <w:szCs w:val="24"/>
              </w:rPr>
              <w:t>EFSA</w:t>
            </w:r>
          </w:p>
        </w:tc>
        <w:tc>
          <w:tcPr>
            <w:tcW w:w="7176" w:type="dxa"/>
            <w:shd w:val="clear" w:color="auto" w:fill="auto"/>
          </w:tcPr>
          <w:p w14:paraId="4D3C3E42" w14:textId="77777777" w:rsidR="00BA4560" w:rsidRPr="00BA4560" w:rsidRDefault="00BA4560" w:rsidP="00264418">
            <w:pPr>
              <w:rPr>
                <w:rFonts w:ascii="Times New Roman" w:hAnsi="Times New Roman" w:cs="Times New Roman"/>
                <w:sz w:val="24"/>
              </w:rPr>
            </w:pPr>
            <w:proofErr w:type="spellStart"/>
            <w:r w:rsidRPr="00BA4560">
              <w:rPr>
                <w:rFonts w:ascii="Times New Roman" w:hAnsi="Times New Roman" w:cs="Times New Roman"/>
                <w:sz w:val="24"/>
              </w:rPr>
              <w:t>European</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Food</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Safety</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Authority</w:t>
            </w:r>
            <w:proofErr w:type="spellEnd"/>
            <w:r w:rsidRPr="00BA4560">
              <w:rPr>
                <w:rFonts w:ascii="Times New Roman" w:hAnsi="Times New Roman" w:cs="Times New Roman"/>
                <w:sz w:val="24"/>
              </w:rPr>
              <w:t xml:space="preserve"> (Avrupa Gıda Güvenliği Otoritesi)</w:t>
            </w:r>
          </w:p>
        </w:tc>
      </w:tr>
      <w:tr w:rsidR="00BA4560" w:rsidRPr="00BA4560" w14:paraId="158514D7" w14:textId="77777777" w:rsidTr="00264418">
        <w:trPr>
          <w:cantSplit/>
          <w:trHeight w:val="582"/>
        </w:trPr>
        <w:tc>
          <w:tcPr>
            <w:tcW w:w="2110" w:type="dxa"/>
            <w:shd w:val="clear" w:color="auto" w:fill="auto"/>
          </w:tcPr>
          <w:p w14:paraId="333ED2B6" w14:textId="77777777" w:rsidR="00BA4560" w:rsidRPr="00BA4560" w:rsidRDefault="00BA4560" w:rsidP="00264418">
            <w:pPr>
              <w:spacing w:before="120" w:after="120" w:line="276" w:lineRule="auto"/>
              <w:jc w:val="both"/>
              <w:rPr>
                <w:rFonts w:ascii="Times New Roman" w:hAnsi="Times New Roman" w:cs="Times New Roman"/>
                <w:sz w:val="24"/>
                <w:szCs w:val="24"/>
              </w:rPr>
            </w:pPr>
            <w:r w:rsidRPr="00BA4560">
              <w:rPr>
                <w:rFonts w:ascii="Times New Roman" w:hAnsi="Times New Roman" w:cs="Times New Roman"/>
                <w:sz w:val="24"/>
                <w:szCs w:val="24"/>
              </w:rPr>
              <w:t>MDLDRPEDN</w:t>
            </w:r>
          </w:p>
        </w:tc>
        <w:tc>
          <w:tcPr>
            <w:tcW w:w="7176" w:type="dxa"/>
            <w:shd w:val="clear" w:color="auto" w:fill="auto"/>
          </w:tcPr>
          <w:p w14:paraId="357CF30D" w14:textId="3B52BE4D" w:rsidR="00BA4560" w:rsidRPr="00BA4560" w:rsidRDefault="00BA4560" w:rsidP="00264418">
            <w:pPr>
              <w:rPr>
                <w:rFonts w:ascii="Times New Roman" w:hAnsi="Times New Roman" w:cs="Times New Roman"/>
                <w:sz w:val="24"/>
              </w:rPr>
            </w:pPr>
            <w:proofErr w:type="spellStart"/>
            <w:r w:rsidRPr="00BA4560">
              <w:rPr>
                <w:rFonts w:ascii="Times New Roman" w:hAnsi="Times New Roman" w:cs="Times New Roman"/>
                <w:sz w:val="24"/>
              </w:rPr>
              <w:t>Ministère</w:t>
            </w:r>
            <w:proofErr w:type="spellEnd"/>
            <w:r w:rsidRPr="00BA4560">
              <w:rPr>
                <w:rFonts w:ascii="Times New Roman" w:hAnsi="Times New Roman" w:cs="Times New Roman"/>
                <w:sz w:val="24"/>
              </w:rPr>
              <w:t xml:space="preserve"> de </w:t>
            </w:r>
            <w:proofErr w:type="spellStart"/>
            <w:r w:rsidRPr="00BA4560">
              <w:rPr>
                <w:rFonts w:ascii="Times New Roman" w:hAnsi="Times New Roman" w:cs="Times New Roman"/>
                <w:sz w:val="24"/>
              </w:rPr>
              <w:t>l'économie</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du</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redressement</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productif</w:t>
            </w:r>
            <w:proofErr w:type="spellEnd"/>
            <w:r w:rsidRPr="00BA4560">
              <w:rPr>
                <w:rFonts w:ascii="Times New Roman" w:hAnsi="Times New Roman" w:cs="Times New Roman"/>
                <w:sz w:val="24"/>
              </w:rPr>
              <w:t xml:space="preserve"> et </w:t>
            </w:r>
            <w:proofErr w:type="spellStart"/>
            <w:r w:rsidRPr="00BA4560">
              <w:rPr>
                <w:rFonts w:ascii="Times New Roman" w:hAnsi="Times New Roman" w:cs="Times New Roman"/>
                <w:sz w:val="24"/>
              </w:rPr>
              <w:t>du</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numérique</w:t>
            </w:r>
            <w:proofErr w:type="spellEnd"/>
          </w:p>
        </w:tc>
      </w:tr>
      <w:tr w:rsidR="00BA4560" w:rsidRPr="00BA4560" w14:paraId="50D070DC" w14:textId="77777777" w:rsidTr="00264418">
        <w:trPr>
          <w:cantSplit/>
          <w:trHeight w:val="582"/>
        </w:trPr>
        <w:tc>
          <w:tcPr>
            <w:tcW w:w="2110" w:type="dxa"/>
            <w:shd w:val="clear" w:color="auto" w:fill="auto"/>
          </w:tcPr>
          <w:p w14:paraId="2D7D2ACA" w14:textId="77777777" w:rsidR="00BA4560" w:rsidRPr="00BA4560" w:rsidRDefault="00BA4560" w:rsidP="00264418">
            <w:pPr>
              <w:spacing w:before="120" w:after="120" w:line="276" w:lineRule="auto"/>
              <w:jc w:val="both"/>
              <w:rPr>
                <w:rFonts w:ascii="Times New Roman" w:hAnsi="Times New Roman" w:cs="Times New Roman"/>
                <w:sz w:val="24"/>
                <w:szCs w:val="24"/>
              </w:rPr>
            </w:pPr>
            <w:r w:rsidRPr="00BA4560">
              <w:rPr>
                <w:rFonts w:ascii="Times New Roman" w:hAnsi="Times New Roman" w:cs="Times New Roman"/>
                <w:bCs/>
                <w:sz w:val="24"/>
                <w:szCs w:val="24"/>
              </w:rPr>
              <w:t>MDS</w:t>
            </w:r>
          </w:p>
        </w:tc>
        <w:tc>
          <w:tcPr>
            <w:tcW w:w="7176" w:type="dxa"/>
            <w:shd w:val="clear" w:color="auto" w:fill="auto"/>
          </w:tcPr>
          <w:p w14:paraId="35DF4114" w14:textId="77777777" w:rsidR="00BA4560" w:rsidRPr="00BA4560" w:rsidRDefault="00BA4560" w:rsidP="00264418">
            <w:pPr>
              <w:rPr>
                <w:rFonts w:ascii="Times New Roman" w:hAnsi="Times New Roman" w:cs="Times New Roman"/>
                <w:sz w:val="24"/>
              </w:rPr>
            </w:pPr>
            <w:proofErr w:type="spellStart"/>
            <w:r w:rsidRPr="00BA4560">
              <w:rPr>
                <w:rFonts w:ascii="Times New Roman" w:hAnsi="Times New Roman" w:cs="Times New Roman"/>
                <w:sz w:val="24"/>
              </w:rPr>
              <w:t>Ministero</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della</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Salute</w:t>
            </w:r>
            <w:proofErr w:type="spellEnd"/>
            <w:r w:rsidRPr="00BA4560">
              <w:rPr>
                <w:rFonts w:ascii="Times New Roman" w:hAnsi="Times New Roman" w:cs="Times New Roman"/>
                <w:sz w:val="24"/>
              </w:rPr>
              <w:t xml:space="preserve"> (İtalya Sağlık Bakanlığı)</w:t>
            </w:r>
          </w:p>
        </w:tc>
      </w:tr>
      <w:tr w:rsidR="00BA4560" w:rsidRPr="00BA4560" w14:paraId="7BE7B3EE" w14:textId="77777777" w:rsidTr="00264418">
        <w:trPr>
          <w:cantSplit/>
          <w:trHeight w:val="582"/>
        </w:trPr>
        <w:tc>
          <w:tcPr>
            <w:tcW w:w="2110" w:type="dxa"/>
            <w:shd w:val="clear" w:color="auto" w:fill="auto"/>
          </w:tcPr>
          <w:p w14:paraId="67868488" w14:textId="77777777" w:rsidR="00BA4560" w:rsidRPr="00BA4560" w:rsidRDefault="00BA4560" w:rsidP="00264418">
            <w:pPr>
              <w:spacing w:before="120" w:after="120" w:line="276" w:lineRule="auto"/>
              <w:jc w:val="both"/>
              <w:rPr>
                <w:rFonts w:ascii="Times New Roman" w:hAnsi="Times New Roman" w:cs="Times New Roman"/>
                <w:sz w:val="24"/>
                <w:szCs w:val="24"/>
              </w:rPr>
            </w:pPr>
            <w:r w:rsidRPr="00BA4560">
              <w:rPr>
                <w:rFonts w:ascii="Times New Roman" w:hAnsi="Times New Roman" w:cs="Times New Roman"/>
                <w:bCs/>
                <w:sz w:val="24"/>
                <w:szCs w:val="24"/>
              </w:rPr>
              <w:t>MHRA</w:t>
            </w:r>
          </w:p>
        </w:tc>
        <w:tc>
          <w:tcPr>
            <w:tcW w:w="7176" w:type="dxa"/>
            <w:shd w:val="clear" w:color="auto" w:fill="auto"/>
          </w:tcPr>
          <w:p w14:paraId="2E9742BA" w14:textId="77777777" w:rsidR="00BA4560" w:rsidRPr="00BA4560" w:rsidRDefault="00BA4560" w:rsidP="00264418">
            <w:pPr>
              <w:rPr>
                <w:rFonts w:ascii="Times New Roman" w:hAnsi="Times New Roman" w:cs="Times New Roman"/>
                <w:sz w:val="24"/>
              </w:rPr>
            </w:pPr>
            <w:proofErr w:type="spellStart"/>
            <w:r w:rsidRPr="00BA4560">
              <w:rPr>
                <w:rFonts w:ascii="Times New Roman" w:hAnsi="Times New Roman" w:cs="Times New Roman"/>
                <w:sz w:val="24"/>
              </w:rPr>
              <w:t>Medicines</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and</w:t>
            </w:r>
            <w:proofErr w:type="spellEnd"/>
            <w:r w:rsidRPr="00BA4560">
              <w:rPr>
                <w:rFonts w:ascii="Times New Roman" w:hAnsi="Times New Roman" w:cs="Times New Roman"/>
                <w:sz w:val="24"/>
              </w:rPr>
              <w:t xml:space="preserve"> Healthcare </w:t>
            </w:r>
            <w:proofErr w:type="spellStart"/>
            <w:r w:rsidRPr="00BA4560">
              <w:rPr>
                <w:rFonts w:ascii="Times New Roman" w:hAnsi="Times New Roman" w:cs="Times New Roman"/>
                <w:sz w:val="24"/>
              </w:rPr>
              <w:t>Products</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Regulatory</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Agency</w:t>
            </w:r>
            <w:proofErr w:type="spellEnd"/>
            <w:r w:rsidRPr="00BA4560">
              <w:rPr>
                <w:rFonts w:ascii="Times New Roman" w:hAnsi="Times New Roman" w:cs="Times New Roman"/>
                <w:sz w:val="24"/>
              </w:rPr>
              <w:t xml:space="preserve"> (İngiltere İlaç ve Sağlık Ürünleri Düzenleme Kurumu)</w:t>
            </w:r>
          </w:p>
        </w:tc>
      </w:tr>
      <w:tr w:rsidR="00BA4560" w:rsidRPr="00BA4560" w14:paraId="2881D5F2" w14:textId="77777777" w:rsidTr="00264418">
        <w:trPr>
          <w:cantSplit/>
          <w:trHeight w:val="582"/>
        </w:trPr>
        <w:tc>
          <w:tcPr>
            <w:tcW w:w="2110" w:type="dxa"/>
            <w:shd w:val="clear" w:color="auto" w:fill="auto"/>
          </w:tcPr>
          <w:p w14:paraId="02EEB3EA" w14:textId="77777777" w:rsidR="00BA4560" w:rsidRPr="00BA4560" w:rsidRDefault="00BA4560" w:rsidP="00264418">
            <w:pPr>
              <w:spacing w:before="120" w:after="120" w:line="276" w:lineRule="auto"/>
              <w:jc w:val="both"/>
              <w:rPr>
                <w:rFonts w:ascii="Times New Roman" w:hAnsi="Times New Roman" w:cs="Times New Roman"/>
                <w:bCs/>
                <w:sz w:val="24"/>
                <w:szCs w:val="24"/>
              </w:rPr>
            </w:pPr>
            <w:r w:rsidRPr="00BA4560">
              <w:rPr>
                <w:rFonts w:ascii="Times New Roman" w:hAnsi="Times New Roman" w:cs="Times New Roman"/>
                <w:bCs/>
                <w:sz w:val="24"/>
                <w:szCs w:val="24"/>
              </w:rPr>
              <w:t>MZ</w:t>
            </w:r>
          </w:p>
        </w:tc>
        <w:tc>
          <w:tcPr>
            <w:tcW w:w="7176" w:type="dxa"/>
            <w:shd w:val="clear" w:color="auto" w:fill="auto"/>
          </w:tcPr>
          <w:p w14:paraId="1A78D4A1" w14:textId="77777777" w:rsidR="00BA4560" w:rsidRPr="00BA4560" w:rsidRDefault="00BA4560" w:rsidP="00264418">
            <w:pPr>
              <w:rPr>
                <w:rFonts w:ascii="Times New Roman" w:hAnsi="Times New Roman" w:cs="Times New Roman"/>
                <w:sz w:val="24"/>
              </w:rPr>
            </w:pPr>
            <w:proofErr w:type="spellStart"/>
            <w:r w:rsidRPr="00BA4560">
              <w:rPr>
                <w:rFonts w:ascii="Times New Roman" w:hAnsi="Times New Roman" w:cs="Times New Roman"/>
                <w:sz w:val="24"/>
              </w:rPr>
              <w:t>Ministarstvo</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Zdravlja</w:t>
            </w:r>
            <w:proofErr w:type="spellEnd"/>
            <w:r w:rsidRPr="00BA4560">
              <w:rPr>
                <w:rFonts w:ascii="Times New Roman" w:hAnsi="Times New Roman" w:cs="Times New Roman"/>
                <w:sz w:val="24"/>
              </w:rPr>
              <w:t xml:space="preserve"> (Hırvatistan Sağlık Bakanlığı)</w:t>
            </w:r>
          </w:p>
        </w:tc>
      </w:tr>
      <w:tr w:rsidR="00BA4560" w:rsidRPr="00BA4560" w14:paraId="0B68F263" w14:textId="77777777" w:rsidTr="00264418">
        <w:trPr>
          <w:cantSplit/>
          <w:trHeight w:val="582"/>
        </w:trPr>
        <w:tc>
          <w:tcPr>
            <w:tcW w:w="2110" w:type="dxa"/>
            <w:shd w:val="clear" w:color="auto" w:fill="auto"/>
          </w:tcPr>
          <w:p w14:paraId="17F96AE6" w14:textId="77777777" w:rsidR="00BA4560" w:rsidRPr="00BA4560" w:rsidRDefault="00BA4560" w:rsidP="00264418">
            <w:pPr>
              <w:spacing w:before="120" w:after="120" w:line="276" w:lineRule="auto"/>
              <w:jc w:val="both"/>
              <w:rPr>
                <w:rFonts w:ascii="Times New Roman" w:hAnsi="Times New Roman" w:cs="Times New Roman"/>
                <w:sz w:val="24"/>
                <w:szCs w:val="24"/>
              </w:rPr>
            </w:pPr>
            <w:r w:rsidRPr="00BA4560">
              <w:rPr>
                <w:rFonts w:ascii="Times New Roman" w:hAnsi="Times New Roman" w:cs="Times New Roman"/>
                <w:sz w:val="24"/>
                <w:szCs w:val="24"/>
              </w:rPr>
              <w:t>NNGYK</w:t>
            </w:r>
          </w:p>
        </w:tc>
        <w:tc>
          <w:tcPr>
            <w:tcW w:w="7176" w:type="dxa"/>
            <w:shd w:val="clear" w:color="auto" w:fill="auto"/>
          </w:tcPr>
          <w:p w14:paraId="5686C60E" w14:textId="77777777" w:rsidR="00BA4560" w:rsidRPr="00BA4560" w:rsidRDefault="00BA4560" w:rsidP="00264418">
            <w:pPr>
              <w:rPr>
                <w:rFonts w:ascii="Times New Roman" w:hAnsi="Times New Roman" w:cs="Times New Roman"/>
                <w:sz w:val="24"/>
              </w:rPr>
            </w:pPr>
            <w:proofErr w:type="spellStart"/>
            <w:r w:rsidRPr="00BA4560">
              <w:rPr>
                <w:rFonts w:ascii="Times New Roman" w:hAnsi="Times New Roman" w:cs="Times New Roman"/>
                <w:sz w:val="24"/>
              </w:rPr>
              <w:t>Nemzeti</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Népegészségügyi</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és</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Gyógyszerészeti</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Központnál</w:t>
            </w:r>
            <w:proofErr w:type="spellEnd"/>
            <w:r w:rsidRPr="00BA4560">
              <w:rPr>
                <w:rFonts w:ascii="Times New Roman" w:hAnsi="Times New Roman" w:cs="Times New Roman"/>
                <w:sz w:val="24"/>
              </w:rPr>
              <w:t> </w:t>
            </w:r>
          </w:p>
        </w:tc>
      </w:tr>
      <w:tr w:rsidR="00BA4560" w:rsidRPr="00BA4560" w14:paraId="7EBEC778" w14:textId="77777777" w:rsidTr="00264418">
        <w:trPr>
          <w:cantSplit/>
          <w:trHeight w:val="582"/>
        </w:trPr>
        <w:tc>
          <w:tcPr>
            <w:tcW w:w="2110" w:type="dxa"/>
            <w:shd w:val="clear" w:color="auto" w:fill="auto"/>
          </w:tcPr>
          <w:p w14:paraId="542777A3" w14:textId="77777777" w:rsidR="00BA4560" w:rsidRPr="00BA4560" w:rsidRDefault="00BA4560" w:rsidP="00264418">
            <w:pPr>
              <w:spacing w:before="120" w:after="120" w:line="276" w:lineRule="auto"/>
              <w:jc w:val="both"/>
              <w:rPr>
                <w:rFonts w:ascii="Times New Roman" w:hAnsi="Times New Roman" w:cs="Times New Roman"/>
                <w:bCs/>
                <w:sz w:val="24"/>
                <w:szCs w:val="24"/>
              </w:rPr>
            </w:pPr>
            <w:r w:rsidRPr="00BA4560">
              <w:rPr>
                <w:rFonts w:ascii="Times New Roman" w:hAnsi="Times New Roman" w:cs="Times New Roman"/>
                <w:sz w:val="24"/>
                <w:szCs w:val="24"/>
              </w:rPr>
              <w:t>RUOKAVIRASTO</w:t>
            </w:r>
          </w:p>
        </w:tc>
        <w:tc>
          <w:tcPr>
            <w:tcW w:w="7176" w:type="dxa"/>
            <w:shd w:val="clear" w:color="auto" w:fill="auto"/>
          </w:tcPr>
          <w:p w14:paraId="0925807C" w14:textId="77777777" w:rsidR="00BA4560" w:rsidRPr="00BA4560" w:rsidRDefault="00BA4560" w:rsidP="00264418">
            <w:pPr>
              <w:rPr>
                <w:rFonts w:ascii="Times New Roman" w:hAnsi="Times New Roman" w:cs="Times New Roman"/>
                <w:sz w:val="24"/>
              </w:rPr>
            </w:pPr>
            <w:r w:rsidRPr="00BA4560">
              <w:rPr>
                <w:rFonts w:ascii="Times New Roman" w:hAnsi="Times New Roman" w:cs="Times New Roman"/>
                <w:sz w:val="24"/>
              </w:rPr>
              <w:t>RUOKAVIRASTO (</w:t>
            </w:r>
            <w:proofErr w:type="spellStart"/>
            <w:r w:rsidRPr="00BA4560">
              <w:rPr>
                <w:rFonts w:ascii="Times New Roman" w:hAnsi="Times New Roman" w:cs="Times New Roman"/>
                <w:sz w:val="24"/>
              </w:rPr>
              <w:t>Finnish</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Food</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Authority</w:t>
            </w:r>
            <w:proofErr w:type="spellEnd"/>
            <w:r w:rsidRPr="00BA4560">
              <w:rPr>
                <w:rFonts w:ascii="Times New Roman" w:hAnsi="Times New Roman" w:cs="Times New Roman"/>
                <w:sz w:val="24"/>
              </w:rPr>
              <w:t>)</w:t>
            </w:r>
          </w:p>
        </w:tc>
      </w:tr>
      <w:tr w:rsidR="00BA4560" w:rsidRPr="00BA4560" w14:paraId="3CD57374" w14:textId="77777777" w:rsidTr="00264418">
        <w:trPr>
          <w:cantSplit/>
          <w:trHeight w:val="582"/>
        </w:trPr>
        <w:tc>
          <w:tcPr>
            <w:tcW w:w="2110" w:type="dxa"/>
            <w:shd w:val="clear" w:color="auto" w:fill="auto"/>
          </w:tcPr>
          <w:p w14:paraId="77F75029" w14:textId="77777777" w:rsidR="00BA4560" w:rsidRPr="00BA4560" w:rsidRDefault="00BA4560" w:rsidP="00264418">
            <w:pPr>
              <w:spacing w:before="120" w:after="120" w:line="276" w:lineRule="auto"/>
              <w:jc w:val="both"/>
              <w:rPr>
                <w:rFonts w:ascii="Times New Roman" w:hAnsi="Times New Roman" w:cs="Times New Roman"/>
                <w:sz w:val="24"/>
                <w:szCs w:val="24"/>
              </w:rPr>
            </w:pPr>
            <w:r w:rsidRPr="00BA4560">
              <w:rPr>
                <w:rFonts w:ascii="Times New Roman" w:hAnsi="Times New Roman" w:cs="Times New Roman"/>
                <w:sz w:val="24"/>
                <w:szCs w:val="24"/>
              </w:rPr>
              <w:t>THIE</w:t>
            </w:r>
          </w:p>
        </w:tc>
        <w:tc>
          <w:tcPr>
            <w:tcW w:w="7176" w:type="dxa"/>
            <w:shd w:val="clear" w:color="auto" w:fill="auto"/>
          </w:tcPr>
          <w:p w14:paraId="65CB219D" w14:textId="77777777" w:rsidR="00BA4560" w:rsidRPr="00BA4560" w:rsidRDefault="00BA4560" w:rsidP="00264418">
            <w:pPr>
              <w:rPr>
                <w:rFonts w:ascii="Times New Roman" w:hAnsi="Times New Roman" w:cs="Times New Roman"/>
              </w:rPr>
            </w:pPr>
            <w:proofErr w:type="spellStart"/>
            <w:r w:rsidRPr="00BA4560">
              <w:rPr>
                <w:rFonts w:ascii="Times New Roman" w:hAnsi="Times New Roman" w:cs="Times New Roman"/>
                <w:sz w:val="24"/>
              </w:rPr>
              <w:t>Tea</w:t>
            </w:r>
            <w:proofErr w:type="spellEnd"/>
            <w:r w:rsidRPr="00BA4560">
              <w:rPr>
                <w:rFonts w:ascii="Times New Roman" w:hAnsi="Times New Roman" w:cs="Times New Roman"/>
                <w:sz w:val="24"/>
              </w:rPr>
              <w:t xml:space="preserve"> &amp; </w:t>
            </w:r>
            <w:proofErr w:type="spellStart"/>
            <w:r w:rsidRPr="00BA4560">
              <w:rPr>
                <w:rFonts w:ascii="Times New Roman" w:hAnsi="Times New Roman" w:cs="Times New Roman"/>
                <w:sz w:val="24"/>
              </w:rPr>
              <w:t>Herbal</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Infusions</w:t>
            </w:r>
            <w:proofErr w:type="spellEnd"/>
            <w:r w:rsidRPr="00BA4560">
              <w:rPr>
                <w:rFonts w:ascii="Times New Roman" w:hAnsi="Times New Roman" w:cs="Times New Roman"/>
                <w:sz w:val="24"/>
              </w:rPr>
              <w:t xml:space="preserve"> Europe</w:t>
            </w:r>
          </w:p>
        </w:tc>
      </w:tr>
      <w:tr w:rsidR="00BA4560" w:rsidRPr="00BA4560" w14:paraId="443D5CD8" w14:textId="77777777" w:rsidTr="00264418">
        <w:trPr>
          <w:cantSplit/>
          <w:trHeight w:val="582"/>
        </w:trPr>
        <w:tc>
          <w:tcPr>
            <w:tcW w:w="2110" w:type="dxa"/>
            <w:shd w:val="clear" w:color="auto" w:fill="auto"/>
          </w:tcPr>
          <w:p w14:paraId="63BB06CD" w14:textId="77777777" w:rsidR="00BA4560" w:rsidRPr="00BA4560" w:rsidRDefault="00BA4560" w:rsidP="00264418">
            <w:pPr>
              <w:spacing w:before="120" w:after="120" w:line="276" w:lineRule="auto"/>
              <w:jc w:val="both"/>
              <w:rPr>
                <w:rFonts w:ascii="Times New Roman" w:hAnsi="Times New Roman" w:cs="Times New Roman"/>
                <w:bCs/>
                <w:sz w:val="24"/>
                <w:szCs w:val="24"/>
              </w:rPr>
            </w:pPr>
            <w:r w:rsidRPr="00BA4560">
              <w:rPr>
                <w:rFonts w:ascii="Times New Roman" w:hAnsi="Times New Roman" w:cs="Times New Roman"/>
                <w:bCs/>
                <w:sz w:val="24"/>
                <w:szCs w:val="24"/>
              </w:rPr>
              <w:t>VVVL</w:t>
            </w:r>
          </w:p>
        </w:tc>
        <w:tc>
          <w:tcPr>
            <w:tcW w:w="7176" w:type="dxa"/>
            <w:shd w:val="clear" w:color="auto" w:fill="auto"/>
          </w:tcPr>
          <w:p w14:paraId="1900C243" w14:textId="77777777" w:rsidR="00BA4560" w:rsidRPr="00BA4560" w:rsidRDefault="00BA4560" w:rsidP="00264418">
            <w:pPr>
              <w:rPr>
                <w:rFonts w:ascii="Times New Roman" w:hAnsi="Times New Roman" w:cs="Times New Roman"/>
                <w:sz w:val="24"/>
              </w:rPr>
            </w:pPr>
            <w:proofErr w:type="spellStart"/>
            <w:r w:rsidRPr="00BA4560">
              <w:rPr>
                <w:rFonts w:ascii="Times New Roman" w:hAnsi="Times New Roman" w:cs="Times New Roman"/>
                <w:sz w:val="24"/>
              </w:rPr>
              <w:t>Volksgezondheid</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Veiligheid</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van</w:t>
            </w:r>
            <w:proofErr w:type="spellEnd"/>
            <w:r w:rsidRPr="00BA4560">
              <w:rPr>
                <w:rFonts w:ascii="Times New Roman" w:hAnsi="Times New Roman" w:cs="Times New Roman"/>
                <w:sz w:val="24"/>
              </w:rPr>
              <w:t xml:space="preserve"> de </w:t>
            </w:r>
            <w:proofErr w:type="spellStart"/>
            <w:r w:rsidRPr="00BA4560">
              <w:rPr>
                <w:rFonts w:ascii="Times New Roman" w:hAnsi="Times New Roman" w:cs="Times New Roman"/>
                <w:sz w:val="24"/>
              </w:rPr>
              <w:t>Voedselketen</w:t>
            </w:r>
            <w:proofErr w:type="spellEnd"/>
            <w:r w:rsidRPr="00BA4560">
              <w:rPr>
                <w:rFonts w:ascii="Times New Roman" w:hAnsi="Times New Roman" w:cs="Times New Roman"/>
                <w:sz w:val="24"/>
              </w:rPr>
              <w:t xml:space="preserve"> en </w:t>
            </w:r>
            <w:proofErr w:type="spellStart"/>
            <w:r w:rsidRPr="00BA4560">
              <w:rPr>
                <w:rFonts w:ascii="Times New Roman" w:hAnsi="Times New Roman" w:cs="Times New Roman"/>
                <w:sz w:val="24"/>
              </w:rPr>
              <w:t>Leefmilieu</w:t>
            </w:r>
            <w:proofErr w:type="spellEnd"/>
          </w:p>
          <w:p w14:paraId="4D294B5F" w14:textId="77777777" w:rsidR="00BA4560" w:rsidRPr="00BA4560" w:rsidRDefault="00BA4560" w:rsidP="00264418">
            <w:pPr>
              <w:rPr>
                <w:rFonts w:ascii="Times New Roman" w:hAnsi="Times New Roman" w:cs="Times New Roman"/>
                <w:sz w:val="24"/>
              </w:rPr>
            </w:pPr>
          </w:p>
        </w:tc>
      </w:tr>
      <w:tr w:rsidR="00BA4560" w:rsidRPr="00BA4560" w14:paraId="710B8AA2" w14:textId="77777777" w:rsidTr="00264418">
        <w:trPr>
          <w:cantSplit/>
          <w:trHeight w:val="582"/>
        </w:trPr>
        <w:tc>
          <w:tcPr>
            <w:tcW w:w="2110" w:type="dxa"/>
            <w:shd w:val="clear" w:color="auto" w:fill="auto"/>
          </w:tcPr>
          <w:p w14:paraId="011FA270" w14:textId="77777777" w:rsidR="00BA4560" w:rsidRPr="00BA4560" w:rsidRDefault="00BA4560" w:rsidP="00264418">
            <w:pPr>
              <w:spacing w:before="120" w:after="120" w:line="276" w:lineRule="auto"/>
              <w:jc w:val="both"/>
              <w:rPr>
                <w:rFonts w:ascii="Times New Roman" w:hAnsi="Times New Roman" w:cs="Times New Roman"/>
                <w:sz w:val="24"/>
                <w:szCs w:val="24"/>
              </w:rPr>
            </w:pPr>
            <w:r w:rsidRPr="00BA4560">
              <w:rPr>
                <w:rFonts w:ascii="Times New Roman" w:hAnsi="Times New Roman" w:cs="Times New Roman"/>
                <w:sz w:val="24"/>
                <w:szCs w:val="24"/>
              </w:rPr>
              <w:t>VWS</w:t>
            </w:r>
          </w:p>
        </w:tc>
        <w:tc>
          <w:tcPr>
            <w:tcW w:w="7176" w:type="dxa"/>
            <w:shd w:val="clear" w:color="auto" w:fill="auto"/>
          </w:tcPr>
          <w:p w14:paraId="35A75F9B" w14:textId="77777777" w:rsidR="00BA4560" w:rsidRPr="00BA4560" w:rsidRDefault="00BA4560" w:rsidP="00264418">
            <w:pPr>
              <w:rPr>
                <w:rFonts w:ascii="Times New Roman" w:hAnsi="Times New Roman" w:cs="Times New Roman"/>
                <w:sz w:val="24"/>
              </w:rPr>
            </w:pPr>
            <w:proofErr w:type="spellStart"/>
            <w:r w:rsidRPr="00BA4560">
              <w:rPr>
                <w:rFonts w:ascii="Times New Roman" w:hAnsi="Times New Roman" w:cs="Times New Roman"/>
                <w:sz w:val="24"/>
              </w:rPr>
              <w:t>Ministerie</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van</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Volksgezondheid</w:t>
            </w:r>
            <w:proofErr w:type="spellEnd"/>
            <w:r w:rsidRPr="00BA4560">
              <w:rPr>
                <w:rFonts w:ascii="Times New Roman" w:hAnsi="Times New Roman" w:cs="Times New Roman"/>
                <w:sz w:val="24"/>
              </w:rPr>
              <w:t xml:space="preserve">, </w:t>
            </w:r>
            <w:proofErr w:type="spellStart"/>
            <w:r w:rsidRPr="00BA4560">
              <w:rPr>
                <w:rFonts w:ascii="Times New Roman" w:hAnsi="Times New Roman" w:cs="Times New Roman"/>
                <w:sz w:val="24"/>
              </w:rPr>
              <w:t>Welzijn</w:t>
            </w:r>
            <w:proofErr w:type="spellEnd"/>
            <w:r w:rsidRPr="00BA4560">
              <w:rPr>
                <w:rFonts w:ascii="Times New Roman" w:hAnsi="Times New Roman" w:cs="Times New Roman"/>
                <w:sz w:val="24"/>
              </w:rPr>
              <w:t xml:space="preserve"> en </w:t>
            </w:r>
            <w:proofErr w:type="spellStart"/>
            <w:r w:rsidRPr="00BA4560">
              <w:rPr>
                <w:rFonts w:ascii="Times New Roman" w:hAnsi="Times New Roman" w:cs="Times New Roman"/>
                <w:sz w:val="24"/>
              </w:rPr>
              <w:t>Sport</w:t>
            </w:r>
            <w:proofErr w:type="spellEnd"/>
            <w:r w:rsidRPr="00BA4560">
              <w:rPr>
                <w:rFonts w:ascii="Times New Roman" w:hAnsi="Times New Roman" w:cs="Times New Roman"/>
                <w:sz w:val="24"/>
              </w:rPr>
              <w:t xml:space="preserve"> (Hollanda Sağlık, Refah ve Spor Bakanlığı)</w:t>
            </w:r>
          </w:p>
        </w:tc>
      </w:tr>
    </w:tbl>
    <w:p w14:paraId="4431A40C" w14:textId="7DF250B6" w:rsidR="00BA4560" w:rsidRDefault="00BA4560" w:rsidP="00FC6DFA">
      <w:pPr>
        <w:pStyle w:val="NormalWeb"/>
        <w:spacing w:before="120" w:beforeAutospacing="0" w:after="120" w:afterAutospacing="0" w:line="276" w:lineRule="auto"/>
        <w:jc w:val="both"/>
        <w:rPr>
          <w:b/>
          <w:bCs/>
          <w:color w:val="000000"/>
        </w:rPr>
        <w:sectPr w:rsidR="00BA4560">
          <w:pgSz w:w="11906" w:h="16838"/>
          <w:pgMar w:top="1417" w:right="1417" w:bottom="1417" w:left="1417" w:header="708" w:footer="708" w:gutter="0"/>
          <w:cols w:space="708"/>
          <w:docGrid w:linePitch="360"/>
        </w:sectPr>
      </w:pPr>
    </w:p>
    <w:p w14:paraId="658A4591" w14:textId="792CBBE8" w:rsidR="009F7F21" w:rsidRPr="009A1789" w:rsidRDefault="009A1789" w:rsidP="00FC6DFA">
      <w:pPr>
        <w:pStyle w:val="NormalWeb"/>
        <w:spacing w:before="120" w:beforeAutospacing="0" w:after="120" w:afterAutospacing="0" w:line="276" w:lineRule="auto"/>
        <w:jc w:val="both"/>
        <w:rPr>
          <w:b/>
          <w:bCs/>
          <w:color w:val="000000"/>
        </w:rPr>
      </w:pPr>
      <w:r w:rsidRPr="009A1789">
        <w:rPr>
          <w:b/>
          <w:bCs/>
          <w:color w:val="000000"/>
        </w:rPr>
        <w:lastRenderedPageBreak/>
        <w:t>KAYNAKÇA</w:t>
      </w:r>
    </w:p>
    <w:p w14:paraId="231D2A50"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Ayenew</w:t>
      </w:r>
      <w:proofErr w:type="spellEnd"/>
      <w:r w:rsidRPr="009A1789">
        <w:rPr>
          <w:color w:val="000000"/>
        </w:rPr>
        <w:t xml:space="preserve"> KD, </w:t>
      </w:r>
      <w:proofErr w:type="spellStart"/>
      <w:r w:rsidRPr="009A1789">
        <w:rPr>
          <w:color w:val="000000"/>
        </w:rPr>
        <w:t>Sewale</w:t>
      </w:r>
      <w:proofErr w:type="spellEnd"/>
      <w:r w:rsidRPr="009A1789">
        <w:rPr>
          <w:color w:val="000000"/>
        </w:rPr>
        <w:t xml:space="preserve"> Y, </w:t>
      </w:r>
      <w:proofErr w:type="spellStart"/>
      <w:r w:rsidRPr="009A1789">
        <w:rPr>
          <w:color w:val="000000"/>
        </w:rPr>
        <w:t>Amare</w:t>
      </w:r>
      <w:proofErr w:type="spellEnd"/>
      <w:r w:rsidRPr="009A1789">
        <w:rPr>
          <w:color w:val="000000"/>
        </w:rPr>
        <w:t xml:space="preserve"> YE, </w:t>
      </w:r>
      <w:proofErr w:type="spellStart"/>
      <w:r w:rsidRPr="009A1789">
        <w:rPr>
          <w:color w:val="000000"/>
        </w:rPr>
        <w:t>Ayalew</w:t>
      </w:r>
      <w:proofErr w:type="spellEnd"/>
      <w:r w:rsidRPr="009A1789">
        <w:rPr>
          <w:color w:val="000000"/>
        </w:rPr>
        <w:t xml:space="preserve"> A. </w:t>
      </w:r>
      <w:proofErr w:type="spellStart"/>
      <w:r w:rsidRPr="009A1789">
        <w:rPr>
          <w:color w:val="000000"/>
        </w:rPr>
        <w:t>Acute</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subacute</w:t>
      </w:r>
      <w:proofErr w:type="spellEnd"/>
      <w:r w:rsidRPr="009A1789">
        <w:rPr>
          <w:color w:val="000000"/>
        </w:rPr>
        <w:t xml:space="preserve"> </w:t>
      </w:r>
      <w:proofErr w:type="spellStart"/>
      <w:r w:rsidRPr="009A1789">
        <w:rPr>
          <w:color w:val="000000"/>
        </w:rPr>
        <w:t>toxicity</w:t>
      </w:r>
      <w:proofErr w:type="spellEnd"/>
      <w:r w:rsidRPr="009A1789">
        <w:rPr>
          <w:color w:val="000000"/>
        </w:rPr>
        <w:t xml:space="preserve"> </w:t>
      </w:r>
      <w:proofErr w:type="spellStart"/>
      <w:r w:rsidRPr="009A1789">
        <w:rPr>
          <w:color w:val="000000"/>
        </w:rPr>
        <w:t>study</w:t>
      </w:r>
      <w:proofErr w:type="spellEnd"/>
      <w:r w:rsidRPr="009A1789">
        <w:rPr>
          <w:color w:val="000000"/>
        </w:rPr>
        <w:t xml:space="preserve"> of </w:t>
      </w:r>
      <w:proofErr w:type="spellStart"/>
      <w:r w:rsidRPr="009A1789">
        <w:rPr>
          <w:color w:val="000000"/>
        </w:rPr>
        <w:t>essential</w:t>
      </w:r>
      <w:proofErr w:type="spellEnd"/>
      <w:r w:rsidRPr="009A1789">
        <w:rPr>
          <w:color w:val="000000"/>
        </w:rPr>
        <w:t xml:space="preserve"> </w:t>
      </w:r>
      <w:proofErr w:type="spellStart"/>
      <w:r w:rsidRPr="009A1789">
        <w:rPr>
          <w:color w:val="000000"/>
        </w:rPr>
        <w:t>oil</w:t>
      </w:r>
      <w:proofErr w:type="spellEnd"/>
      <w:r w:rsidRPr="009A1789">
        <w:rPr>
          <w:color w:val="000000"/>
        </w:rPr>
        <w:t xml:space="preserve"> of </w:t>
      </w:r>
      <w:proofErr w:type="spellStart"/>
      <w:r w:rsidRPr="009A1789">
        <w:rPr>
          <w:color w:val="000000"/>
        </w:rPr>
        <w:t>Cymbopogon</w:t>
      </w:r>
      <w:proofErr w:type="spellEnd"/>
      <w:r w:rsidRPr="009A1789">
        <w:rPr>
          <w:color w:val="000000"/>
        </w:rPr>
        <w:t xml:space="preserve"> </w:t>
      </w:r>
      <w:proofErr w:type="spellStart"/>
      <w:r w:rsidRPr="009A1789">
        <w:rPr>
          <w:color w:val="000000"/>
        </w:rPr>
        <w:t>martinii</w:t>
      </w:r>
      <w:proofErr w:type="spellEnd"/>
      <w:r w:rsidRPr="009A1789">
        <w:rPr>
          <w:color w:val="000000"/>
        </w:rPr>
        <w:t xml:space="preserve"> in </w:t>
      </w:r>
      <w:proofErr w:type="spellStart"/>
      <w:r w:rsidRPr="009A1789">
        <w:rPr>
          <w:color w:val="000000"/>
        </w:rPr>
        <w:t>mice</w:t>
      </w:r>
      <w:proofErr w:type="spellEnd"/>
      <w:r w:rsidRPr="009A1789">
        <w:rPr>
          <w:color w:val="000000"/>
        </w:rPr>
        <w:t xml:space="preserve">. </w:t>
      </w:r>
      <w:proofErr w:type="spellStart"/>
      <w:r w:rsidRPr="009A1789">
        <w:rPr>
          <w:color w:val="000000"/>
        </w:rPr>
        <w:t>Journal</w:t>
      </w:r>
      <w:proofErr w:type="spellEnd"/>
      <w:r w:rsidRPr="009A1789">
        <w:rPr>
          <w:color w:val="000000"/>
        </w:rPr>
        <w:t xml:space="preserve"> of </w:t>
      </w:r>
      <w:proofErr w:type="spellStart"/>
      <w:r w:rsidRPr="009A1789">
        <w:rPr>
          <w:color w:val="000000"/>
        </w:rPr>
        <w:t>Toxicology</w:t>
      </w:r>
      <w:proofErr w:type="spellEnd"/>
      <w:r w:rsidRPr="009A1789">
        <w:rPr>
          <w:color w:val="000000"/>
        </w:rPr>
        <w:t xml:space="preserve">. </w:t>
      </w:r>
      <w:proofErr w:type="gramStart"/>
      <w:r w:rsidRPr="009A1789">
        <w:rPr>
          <w:color w:val="000000"/>
        </w:rPr>
        <w:t>2022;2022:1995578</w:t>
      </w:r>
      <w:proofErr w:type="gramEnd"/>
      <w:r w:rsidRPr="009A1789">
        <w:rPr>
          <w:color w:val="000000"/>
        </w:rPr>
        <w:t>. https://doi.org/10.1155/2022/1995578</w:t>
      </w:r>
    </w:p>
    <w:p w14:paraId="30ED1216" w14:textId="51977710" w:rsidR="009A1789" w:rsidRDefault="009A1789" w:rsidP="009C516A">
      <w:pPr>
        <w:pStyle w:val="NormalWeb"/>
        <w:spacing w:before="120" w:after="120" w:line="276" w:lineRule="auto"/>
        <w:ind w:left="709" w:hanging="709"/>
        <w:jc w:val="both"/>
        <w:rPr>
          <w:color w:val="000000"/>
        </w:rPr>
      </w:pPr>
      <w:proofErr w:type="spellStart"/>
      <w:r w:rsidRPr="009A1789">
        <w:rPr>
          <w:color w:val="000000"/>
        </w:rPr>
        <w:t>Api</w:t>
      </w:r>
      <w:proofErr w:type="spellEnd"/>
      <w:r w:rsidRPr="009A1789">
        <w:rPr>
          <w:color w:val="000000"/>
        </w:rPr>
        <w:t xml:space="preserve"> AM, </w:t>
      </w:r>
      <w:proofErr w:type="spellStart"/>
      <w:r w:rsidRPr="009A1789">
        <w:rPr>
          <w:color w:val="000000"/>
        </w:rPr>
        <w:t>Belsito</w:t>
      </w:r>
      <w:proofErr w:type="spellEnd"/>
      <w:r w:rsidRPr="009A1789">
        <w:rPr>
          <w:color w:val="000000"/>
        </w:rPr>
        <w:t xml:space="preserve"> D, </w:t>
      </w:r>
      <w:proofErr w:type="spellStart"/>
      <w:r w:rsidRPr="009A1789">
        <w:rPr>
          <w:color w:val="000000"/>
        </w:rPr>
        <w:t>Botelho</w:t>
      </w:r>
      <w:proofErr w:type="spellEnd"/>
      <w:r w:rsidRPr="009A1789">
        <w:rPr>
          <w:color w:val="000000"/>
        </w:rPr>
        <w:t xml:space="preserve"> D, </w:t>
      </w:r>
      <w:proofErr w:type="spellStart"/>
      <w:r w:rsidRPr="009A1789">
        <w:rPr>
          <w:color w:val="000000"/>
        </w:rPr>
        <w:t>Bruze</w:t>
      </w:r>
      <w:proofErr w:type="spellEnd"/>
      <w:r w:rsidRPr="009A1789">
        <w:rPr>
          <w:color w:val="000000"/>
        </w:rPr>
        <w:t xml:space="preserve"> M, </w:t>
      </w:r>
      <w:proofErr w:type="spellStart"/>
      <w:r w:rsidRPr="009A1789">
        <w:rPr>
          <w:color w:val="000000"/>
        </w:rPr>
        <w:t>Burton</w:t>
      </w:r>
      <w:proofErr w:type="spellEnd"/>
      <w:r w:rsidRPr="009A1789">
        <w:rPr>
          <w:color w:val="000000"/>
        </w:rPr>
        <w:t xml:space="preserve"> GA </w:t>
      </w:r>
      <w:proofErr w:type="spellStart"/>
      <w:r w:rsidRPr="009A1789">
        <w:rPr>
          <w:color w:val="000000"/>
        </w:rPr>
        <w:t>Jr</w:t>
      </w:r>
      <w:proofErr w:type="spellEnd"/>
      <w:r w:rsidRPr="009A1789">
        <w:rPr>
          <w:color w:val="000000"/>
        </w:rPr>
        <w:t xml:space="preserve">, </w:t>
      </w:r>
      <w:proofErr w:type="spellStart"/>
      <w:r w:rsidRPr="009A1789">
        <w:rPr>
          <w:color w:val="000000"/>
        </w:rPr>
        <w:t>Cancellieri</w:t>
      </w:r>
      <w:proofErr w:type="spellEnd"/>
      <w:r w:rsidRPr="009A1789">
        <w:rPr>
          <w:color w:val="000000"/>
        </w:rPr>
        <w:t xml:space="preserve"> MA, et al. RIFM </w:t>
      </w:r>
      <w:proofErr w:type="spellStart"/>
      <w:r w:rsidRPr="009A1789">
        <w:rPr>
          <w:color w:val="000000"/>
        </w:rPr>
        <w:t>fragrance</w:t>
      </w:r>
      <w:proofErr w:type="spellEnd"/>
      <w:r w:rsidRPr="009A1789">
        <w:rPr>
          <w:color w:val="000000"/>
        </w:rPr>
        <w:t xml:space="preserve"> </w:t>
      </w:r>
      <w:proofErr w:type="spellStart"/>
      <w:r w:rsidRPr="009A1789">
        <w:rPr>
          <w:color w:val="000000"/>
        </w:rPr>
        <w:t>ingredient</w:t>
      </w:r>
      <w:proofErr w:type="spellEnd"/>
      <w:r w:rsidRPr="009A1789">
        <w:rPr>
          <w:color w:val="000000"/>
        </w:rPr>
        <w:t xml:space="preserve"> </w:t>
      </w:r>
      <w:proofErr w:type="spellStart"/>
      <w:r w:rsidRPr="009A1789">
        <w:rPr>
          <w:color w:val="000000"/>
        </w:rPr>
        <w:t>safety</w:t>
      </w:r>
      <w:proofErr w:type="spellEnd"/>
      <w:r w:rsidRPr="009A1789">
        <w:rPr>
          <w:color w:val="000000"/>
        </w:rPr>
        <w:t xml:space="preserve"> </w:t>
      </w:r>
      <w:proofErr w:type="spellStart"/>
      <w:r w:rsidRPr="009A1789">
        <w:rPr>
          <w:color w:val="000000"/>
        </w:rPr>
        <w:t>assessment</w:t>
      </w:r>
      <w:proofErr w:type="spellEnd"/>
      <w:r w:rsidRPr="009A1789">
        <w:rPr>
          <w:color w:val="000000"/>
        </w:rPr>
        <w:t xml:space="preserve">: </w:t>
      </w:r>
      <w:proofErr w:type="spellStart"/>
      <w:r w:rsidRPr="009A1789">
        <w:rPr>
          <w:color w:val="000000"/>
        </w:rPr>
        <w:t>Geraniol</w:t>
      </w:r>
      <w:proofErr w:type="spellEnd"/>
      <w:r w:rsidRPr="009A1789">
        <w:rPr>
          <w:color w:val="000000"/>
        </w:rPr>
        <w:t xml:space="preserve"> (CAS 106-24-1). </w:t>
      </w:r>
      <w:proofErr w:type="spellStart"/>
      <w:r w:rsidRPr="009A1789">
        <w:rPr>
          <w:color w:val="000000"/>
        </w:rPr>
        <w:t>Food</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Chemical</w:t>
      </w:r>
      <w:proofErr w:type="spellEnd"/>
      <w:r w:rsidRPr="009A1789">
        <w:rPr>
          <w:color w:val="000000"/>
        </w:rPr>
        <w:t xml:space="preserve"> </w:t>
      </w:r>
      <w:proofErr w:type="spellStart"/>
      <w:r w:rsidRPr="009A1789">
        <w:rPr>
          <w:color w:val="000000"/>
        </w:rPr>
        <w:t>Toxicology</w:t>
      </w:r>
      <w:proofErr w:type="spellEnd"/>
      <w:r w:rsidRPr="009A1789">
        <w:rPr>
          <w:color w:val="000000"/>
        </w:rPr>
        <w:t>. 2022;167(</w:t>
      </w:r>
      <w:proofErr w:type="spellStart"/>
      <w:r w:rsidRPr="009A1789">
        <w:rPr>
          <w:color w:val="000000"/>
        </w:rPr>
        <w:t>Suppl</w:t>
      </w:r>
      <w:proofErr w:type="spellEnd"/>
      <w:r w:rsidRPr="009A1789">
        <w:rPr>
          <w:color w:val="000000"/>
        </w:rPr>
        <w:t xml:space="preserve"> 1):113341. </w:t>
      </w:r>
      <w:hyperlink r:id="rId10" w:history="1">
        <w:r w:rsidR="00BA4560" w:rsidRPr="009D2A6D">
          <w:rPr>
            <w:rStyle w:val="Kpr"/>
          </w:rPr>
          <w:t>https://doi.org/10.1016/j.fct.2022.113341</w:t>
        </w:r>
      </w:hyperlink>
    </w:p>
    <w:p w14:paraId="7669C6C5" w14:textId="56EAF866" w:rsidR="00BA4560" w:rsidRPr="009A1789" w:rsidRDefault="00BA4560" w:rsidP="009C516A">
      <w:pPr>
        <w:pStyle w:val="NormalWeb"/>
        <w:spacing w:before="120" w:after="120" w:line="276" w:lineRule="auto"/>
        <w:ind w:left="709" w:hanging="709"/>
        <w:jc w:val="both"/>
        <w:rPr>
          <w:color w:val="000000"/>
        </w:rPr>
      </w:pPr>
      <w:proofErr w:type="spellStart"/>
      <w:r>
        <w:rPr>
          <w:color w:val="000000"/>
          <w:shd w:val="clear" w:color="auto" w:fill="FFFFFF"/>
        </w:rPr>
        <w:t>Api</w:t>
      </w:r>
      <w:proofErr w:type="spellEnd"/>
      <w:r>
        <w:rPr>
          <w:color w:val="000000"/>
          <w:shd w:val="clear" w:color="auto" w:fill="FFFFFF"/>
        </w:rPr>
        <w:t xml:space="preserve"> AM, </w:t>
      </w:r>
      <w:proofErr w:type="spellStart"/>
      <w:r>
        <w:rPr>
          <w:color w:val="000000"/>
          <w:shd w:val="clear" w:color="auto" w:fill="FFFFFF"/>
        </w:rPr>
        <w:t>Belsito</w:t>
      </w:r>
      <w:proofErr w:type="spellEnd"/>
      <w:r>
        <w:rPr>
          <w:color w:val="000000"/>
          <w:shd w:val="clear" w:color="auto" w:fill="FFFFFF"/>
        </w:rPr>
        <w:t xml:space="preserve"> D, </w:t>
      </w:r>
      <w:proofErr w:type="spellStart"/>
      <w:r>
        <w:rPr>
          <w:color w:val="000000"/>
          <w:shd w:val="clear" w:color="auto" w:fill="FFFFFF"/>
        </w:rPr>
        <w:t>Botelho</w:t>
      </w:r>
      <w:proofErr w:type="spellEnd"/>
      <w:r>
        <w:rPr>
          <w:color w:val="000000"/>
          <w:shd w:val="clear" w:color="auto" w:fill="FFFFFF"/>
        </w:rPr>
        <w:t xml:space="preserve"> D, </w:t>
      </w:r>
      <w:proofErr w:type="spellStart"/>
      <w:r>
        <w:rPr>
          <w:color w:val="000000"/>
          <w:shd w:val="clear" w:color="auto" w:fill="FFFFFF"/>
        </w:rPr>
        <w:t>Bruze</w:t>
      </w:r>
      <w:proofErr w:type="spellEnd"/>
      <w:r>
        <w:rPr>
          <w:color w:val="000000"/>
          <w:shd w:val="clear" w:color="auto" w:fill="FFFFFF"/>
        </w:rPr>
        <w:t xml:space="preserve"> M, </w:t>
      </w:r>
      <w:proofErr w:type="spellStart"/>
      <w:r>
        <w:rPr>
          <w:color w:val="000000"/>
          <w:shd w:val="clear" w:color="auto" w:fill="FFFFFF"/>
        </w:rPr>
        <w:t>Burton</w:t>
      </w:r>
      <w:proofErr w:type="spellEnd"/>
      <w:r>
        <w:rPr>
          <w:color w:val="000000"/>
          <w:shd w:val="clear" w:color="auto" w:fill="FFFFFF"/>
        </w:rPr>
        <w:t xml:space="preserve"> GA </w:t>
      </w:r>
      <w:proofErr w:type="spellStart"/>
      <w:r>
        <w:rPr>
          <w:color w:val="000000"/>
          <w:shd w:val="clear" w:color="auto" w:fill="FFFFFF"/>
        </w:rPr>
        <w:t>Jr</w:t>
      </w:r>
      <w:proofErr w:type="spellEnd"/>
      <w:r>
        <w:rPr>
          <w:color w:val="000000"/>
          <w:shd w:val="clear" w:color="auto" w:fill="FFFFFF"/>
        </w:rPr>
        <w:t xml:space="preserve">, </w:t>
      </w:r>
      <w:proofErr w:type="spellStart"/>
      <w:r>
        <w:rPr>
          <w:color w:val="000000"/>
          <w:shd w:val="clear" w:color="auto" w:fill="FFFFFF"/>
        </w:rPr>
        <w:t>Cancellieri</w:t>
      </w:r>
      <w:proofErr w:type="spellEnd"/>
      <w:r>
        <w:rPr>
          <w:color w:val="000000"/>
          <w:shd w:val="clear" w:color="auto" w:fill="FFFFFF"/>
        </w:rPr>
        <w:t xml:space="preserve"> MA, </w:t>
      </w:r>
      <w:proofErr w:type="spellStart"/>
      <w:r>
        <w:rPr>
          <w:color w:val="000000"/>
          <w:shd w:val="clear" w:color="auto" w:fill="FFFFFF"/>
        </w:rPr>
        <w:t>Chon</w:t>
      </w:r>
      <w:proofErr w:type="spellEnd"/>
      <w:r>
        <w:rPr>
          <w:color w:val="000000"/>
          <w:shd w:val="clear" w:color="auto" w:fill="FFFFFF"/>
        </w:rPr>
        <w:t xml:space="preserve"> H, </w:t>
      </w:r>
      <w:proofErr w:type="spellStart"/>
      <w:r>
        <w:rPr>
          <w:color w:val="000000"/>
          <w:shd w:val="clear" w:color="auto" w:fill="FFFFFF"/>
        </w:rPr>
        <w:t>Dagli</w:t>
      </w:r>
      <w:proofErr w:type="spellEnd"/>
      <w:r>
        <w:rPr>
          <w:color w:val="000000"/>
          <w:shd w:val="clear" w:color="auto" w:fill="FFFFFF"/>
        </w:rPr>
        <w:t xml:space="preserve"> ML, </w:t>
      </w:r>
      <w:proofErr w:type="spellStart"/>
      <w:r>
        <w:rPr>
          <w:color w:val="000000"/>
          <w:shd w:val="clear" w:color="auto" w:fill="FFFFFF"/>
        </w:rPr>
        <w:t>Date</w:t>
      </w:r>
      <w:proofErr w:type="spellEnd"/>
      <w:r>
        <w:rPr>
          <w:color w:val="000000"/>
          <w:shd w:val="clear" w:color="auto" w:fill="FFFFFF"/>
        </w:rPr>
        <w:t xml:space="preserve"> M, </w:t>
      </w:r>
      <w:proofErr w:type="spellStart"/>
      <w:r>
        <w:rPr>
          <w:color w:val="000000"/>
          <w:shd w:val="clear" w:color="auto" w:fill="FFFFFF"/>
        </w:rPr>
        <w:t>Dekant</w:t>
      </w:r>
      <w:proofErr w:type="spellEnd"/>
      <w:r>
        <w:rPr>
          <w:color w:val="000000"/>
          <w:shd w:val="clear" w:color="auto" w:fill="FFFFFF"/>
        </w:rPr>
        <w:t xml:space="preserve"> W, </w:t>
      </w:r>
      <w:proofErr w:type="spellStart"/>
      <w:r>
        <w:rPr>
          <w:color w:val="000000"/>
          <w:shd w:val="clear" w:color="auto" w:fill="FFFFFF"/>
        </w:rPr>
        <w:t>Deodhar</w:t>
      </w:r>
      <w:proofErr w:type="spellEnd"/>
      <w:r>
        <w:rPr>
          <w:color w:val="000000"/>
          <w:shd w:val="clear" w:color="auto" w:fill="FFFFFF"/>
        </w:rPr>
        <w:t xml:space="preserve"> C, </w:t>
      </w:r>
      <w:proofErr w:type="spellStart"/>
      <w:r>
        <w:rPr>
          <w:color w:val="000000"/>
          <w:shd w:val="clear" w:color="auto" w:fill="FFFFFF"/>
        </w:rPr>
        <w:t>Fryer</w:t>
      </w:r>
      <w:proofErr w:type="spellEnd"/>
      <w:r>
        <w:rPr>
          <w:color w:val="000000"/>
          <w:shd w:val="clear" w:color="auto" w:fill="FFFFFF"/>
        </w:rPr>
        <w:t xml:space="preserve"> AD, </w:t>
      </w:r>
      <w:proofErr w:type="spellStart"/>
      <w:r>
        <w:rPr>
          <w:color w:val="000000"/>
          <w:shd w:val="clear" w:color="auto" w:fill="FFFFFF"/>
        </w:rPr>
        <w:t>Jones</w:t>
      </w:r>
      <w:proofErr w:type="spellEnd"/>
      <w:r>
        <w:rPr>
          <w:color w:val="000000"/>
          <w:shd w:val="clear" w:color="auto" w:fill="FFFFFF"/>
        </w:rPr>
        <w:t xml:space="preserve"> L, </w:t>
      </w:r>
      <w:proofErr w:type="spellStart"/>
      <w:r>
        <w:rPr>
          <w:color w:val="000000"/>
          <w:shd w:val="clear" w:color="auto" w:fill="FFFFFF"/>
        </w:rPr>
        <w:t>Joshi</w:t>
      </w:r>
      <w:proofErr w:type="spellEnd"/>
      <w:r>
        <w:rPr>
          <w:color w:val="000000"/>
          <w:shd w:val="clear" w:color="auto" w:fill="FFFFFF"/>
        </w:rPr>
        <w:t xml:space="preserve"> K, Kumar M, </w:t>
      </w:r>
      <w:proofErr w:type="spellStart"/>
      <w:r>
        <w:rPr>
          <w:color w:val="000000"/>
          <w:shd w:val="clear" w:color="auto" w:fill="FFFFFF"/>
        </w:rPr>
        <w:t>Lapczynski</w:t>
      </w:r>
      <w:proofErr w:type="spellEnd"/>
      <w:r>
        <w:rPr>
          <w:color w:val="000000"/>
          <w:shd w:val="clear" w:color="auto" w:fill="FFFFFF"/>
        </w:rPr>
        <w:t xml:space="preserve"> A, </w:t>
      </w:r>
      <w:proofErr w:type="spellStart"/>
      <w:r>
        <w:rPr>
          <w:color w:val="000000"/>
          <w:shd w:val="clear" w:color="auto" w:fill="FFFFFF"/>
        </w:rPr>
        <w:t>Lavelle</w:t>
      </w:r>
      <w:proofErr w:type="spellEnd"/>
      <w:r>
        <w:rPr>
          <w:color w:val="000000"/>
          <w:shd w:val="clear" w:color="auto" w:fill="FFFFFF"/>
        </w:rPr>
        <w:t xml:space="preserve"> M, Lee I, </w:t>
      </w:r>
      <w:proofErr w:type="spellStart"/>
      <w:r>
        <w:rPr>
          <w:color w:val="000000"/>
          <w:shd w:val="clear" w:color="auto" w:fill="FFFFFF"/>
        </w:rPr>
        <w:t>Liebler</w:t>
      </w:r>
      <w:proofErr w:type="spellEnd"/>
      <w:r>
        <w:rPr>
          <w:color w:val="000000"/>
          <w:shd w:val="clear" w:color="auto" w:fill="FFFFFF"/>
        </w:rPr>
        <w:t xml:space="preserve"> DC, </w:t>
      </w:r>
      <w:proofErr w:type="spellStart"/>
      <w:r>
        <w:rPr>
          <w:color w:val="000000"/>
          <w:shd w:val="clear" w:color="auto" w:fill="FFFFFF"/>
        </w:rPr>
        <w:t>Moustakas</w:t>
      </w:r>
      <w:proofErr w:type="spellEnd"/>
      <w:r>
        <w:rPr>
          <w:color w:val="000000"/>
          <w:shd w:val="clear" w:color="auto" w:fill="FFFFFF"/>
        </w:rPr>
        <w:t xml:space="preserve"> H, </w:t>
      </w:r>
      <w:proofErr w:type="spellStart"/>
      <w:r>
        <w:rPr>
          <w:color w:val="000000"/>
          <w:shd w:val="clear" w:color="auto" w:fill="FFFFFF"/>
        </w:rPr>
        <w:t>Na</w:t>
      </w:r>
      <w:proofErr w:type="spellEnd"/>
      <w:r>
        <w:rPr>
          <w:color w:val="000000"/>
          <w:shd w:val="clear" w:color="auto" w:fill="FFFFFF"/>
        </w:rPr>
        <w:t xml:space="preserve"> M, </w:t>
      </w:r>
      <w:proofErr w:type="spellStart"/>
      <w:r>
        <w:rPr>
          <w:color w:val="000000"/>
          <w:shd w:val="clear" w:color="auto" w:fill="FFFFFF"/>
        </w:rPr>
        <w:t>Penning</w:t>
      </w:r>
      <w:proofErr w:type="spellEnd"/>
      <w:r>
        <w:rPr>
          <w:color w:val="000000"/>
          <w:shd w:val="clear" w:color="auto" w:fill="FFFFFF"/>
        </w:rPr>
        <w:t xml:space="preserve"> TM, </w:t>
      </w:r>
      <w:proofErr w:type="spellStart"/>
      <w:r>
        <w:rPr>
          <w:color w:val="000000"/>
          <w:shd w:val="clear" w:color="auto" w:fill="FFFFFF"/>
        </w:rPr>
        <w:t>Ritacco</w:t>
      </w:r>
      <w:proofErr w:type="spellEnd"/>
      <w:r>
        <w:rPr>
          <w:color w:val="000000"/>
          <w:shd w:val="clear" w:color="auto" w:fill="FFFFFF"/>
        </w:rPr>
        <w:t xml:space="preserve"> G, </w:t>
      </w:r>
      <w:proofErr w:type="spellStart"/>
      <w:r>
        <w:rPr>
          <w:color w:val="000000"/>
          <w:shd w:val="clear" w:color="auto" w:fill="FFFFFF"/>
        </w:rPr>
        <w:t>Romine</w:t>
      </w:r>
      <w:proofErr w:type="spellEnd"/>
      <w:r>
        <w:rPr>
          <w:color w:val="000000"/>
          <w:shd w:val="clear" w:color="auto" w:fill="FFFFFF"/>
        </w:rPr>
        <w:t xml:space="preserve"> J, </w:t>
      </w:r>
      <w:proofErr w:type="spellStart"/>
      <w:r>
        <w:rPr>
          <w:color w:val="000000"/>
          <w:shd w:val="clear" w:color="auto" w:fill="FFFFFF"/>
        </w:rPr>
        <w:t>Sadekar</w:t>
      </w:r>
      <w:proofErr w:type="spellEnd"/>
      <w:r>
        <w:rPr>
          <w:color w:val="000000"/>
          <w:shd w:val="clear" w:color="auto" w:fill="FFFFFF"/>
        </w:rPr>
        <w:t xml:space="preserve"> N, </w:t>
      </w:r>
      <w:proofErr w:type="spellStart"/>
      <w:r>
        <w:rPr>
          <w:color w:val="000000"/>
          <w:shd w:val="clear" w:color="auto" w:fill="FFFFFF"/>
        </w:rPr>
        <w:t>Schultz</w:t>
      </w:r>
      <w:proofErr w:type="spellEnd"/>
      <w:r>
        <w:rPr>
          <w:color w:val="000000"/>
          <w:shd w:val="clear" w:color="auto" w:fill="FFFFFF"/>
        </w:rPr>
        <w:t xml:space="preserve"> TW, </w:t>
      </w:r>
      <w:proofErr w:type="spellStart"/>
      <w:r>
        <w:rPr>
          <w:color w:val="000000"/>
          <w:shd w:val="clear" w:color="auto" w:fill="FFFFFF"/>
        </w:rPr>
        <w:t>Selechnik</w:t>
      </w:r>
      <w:proofErr w:type="spellEnd"/>
      <w:r>
        <w:rPr>
          <w:color w:val="000000"/>
          <w:shd w:val="clear" w:color="auto" w:fill="FFFFFF"/>
        </w:rPr>
        <w:t xml:space="preserve"> D, </w:t>
      </w:r>
      <w:proofErr w:type="spellStart"/>
      <w:r>
        <w:rPr>
          <w:color w:val="000000"/>
          <w:shd w:val="clear" w:color="auto" w:fill="FFFFFF"/>
        </w:rPr>
        <w:t>Siddiqi</w:t>
      </w:r>
      <w:proofErr w:type="spellEnd"/>
      <w:r>
        <w:rPr>
          <w:color w:val="000000"/>
          <w:shd w:val="clear" w:color="auto" w:fill="FFFFFF"/>
        </w:rPr>
        <w:t xml:space="preserve"> F, </w:t>
      </w:r>
      <w:proofErr w:type="spellStart"/>
      <w:r>
        <w:rPr>
          <w:color w:val="000000"/>
          <w:shd w:val="clear" w:color="auto" w:fill="FFFFFF"/>
        </w:rPr>
        <w:t>Sipes</w:t>
      </w:r>
      <w:proofErr w:type="spellEnd"/>
      <w:r>
        <w:rPr>
          <w:color w:val="000000"/>
          <w:shd w:val="clear" w:color="auto" w:fill="FFFFFF"/>
        </w:rPr>
        <w:t xml:space="preserve"> IG, </w:t>
      </w:r>
      <w:proofErr w:type="spellStart"/>
      <w:r>
        <w:rPr>
          <w:color w:val="000000"/>
          <w:shd w:val="clear" w:color="auto" w:fill="FFFFFF"/>
        </w:rPr>
        <w:t>Sullivan</w:t>
      </w:r>
      <w:proofErr w:type="spellEnd"/>
      <w:r>
        <w:rPr>
          <w:color w:val="000000"/>
          <w:shd w:val="clear" w:color="auto" w:fill="FFFFFF"/>
        </w:rPr>
        <w:t xml:space="preserve"> G, </w:t>
      </w:r>
      <w:proofErr w:type="spellStart"/>
      <w:r>
        <w:rPr>
          <w:color w:val="000000"/>
          <w:shd w:val="clear" w:color="auto" w:fill="FFFFFF"/>
        </w:rPr>
        <w:t>Thakkar</w:t>
      </w:r>
      <w:proofErr w:type="spellEnd"/>
      <w:r>
        <w:rPr>
          <w:color w:val="000000"/>
          <w:shd w:val="clear" w:color="auto" w:fill="FFFFFF"/>
        </w:rPr>
        <w:t xml:space="preserve"> Y, </w:t>
      </w:r>
      <w:proofErr w:type="spellStart"/>
      <w:r>
        <w:rPr>
          <w:color w:val="000000"/>
          <w:shd w:val="clear" w:color="auto" w:fill="FFFFFF"/>
        </w:rPr>
        <w:t>Tokura</w:t>
      </w:r>
      <w:proofErr w:type="spellEnd"/>
      <w:r>
        <w:rPr>
          <w:color w:val="000000"/>
          <w:shd w:val="clear" w:color="auto" w:fill="FFFFFF"/>
        </w:rPr>
        <w:t xml:space="preserve"> Y. RIFM </w:t>
      </w:r>
      <w:proofErr w:type="spellStart"/>
      <w:r>
        <w:rPr>
          <w:color w:val="000000"/>
          <w:shd w:val="clear" w:color="auto" w:fill="FFFFFF"/>
        </w:rPr>
        <w:t>fragrance</w:t>
      </w:r>
      <w:proofErr w:type="spellEnd"/>
      <w:r>
        <w:rPr>
          <w:color w:val="000000"/>
          <w:shd w:val="clear" w:color="auto" w:fill="FFFFFF"/>
        </w:rPr>
        <w:t xml:space="preserve"> </w:t>
      </w:r>
      <w:proofErr w:type="spellStart"/>
      <w:r>
        <w:rPr>
          <w:color w:val="000000"/>
          <w:shd w:val="clear" w:color="auto" w:fill="FFFFFF"/>
        </w:rPr>
        <w:t>ingredient</w:t>
      </w:r>
      <w:proofErr w:type="spellEnd"/>
      <w:r>
        <w:rPr>
          <w:color w:val="000000"/>
          <w:shd w:val="clear" w:color="auto" w:fill="FFFFFF"/>
        </w:rPr>
        <w:t xml:space="preserve"> </w:t>
      </w:r>
      <w:proofErr w:type="spellStart"/>
      <w:r>
        <w:rPr>
          <w:color w:val="000000"/>
          <w:shd w:val="clear" w:color="auto" w:fill="FFFFFF"/>
        </w:rPr>
        <w:t>safety</w:t>
      </w:r>
      <w:proofErr w:type="spellEnd"/>
      <w:r>
        <w:rPr>
          <w:color w:val="000000"/>
          <w:shd w:val="clear" w:color="auto" w:fill="FFFFFF"/>
        </w:rPr>
        <w:t xml:space="preserve"> </w:t>
      </w:r>
      <w:proofErr w:type="spellStart"/>
      <w:r>
        <w:rPr>
          <w:color w:val="000000"/>
          <w:shd w:val="clear" w:color="auto" w:fill="FFFFFF"/>
        </w:rPr>
        <w:t>assessment</w:t>
      </w:r>
      <w:proofErr w:type="spellEnd"/>
      <w:r>
        <w:rPr>
          <w:color w:val="000000"/>
          <w:shd w:val="clear" w:color="auto" w:fill="FFFFFF"/>
        </w:rPr>
        <w:t xml:space="preserve">, </w:t>
      </w:r>
      <w:proofErr w:type="spellStart"/>
      <w:r>
        <w:rPr>
          <w:color w:val="000000"/>
          <w:shd w:val="clear" w:color="auto" w:fill="FFFFFF"/>
        </w:rPr>
        <w:t>geraniol</w:t>
      </w:r>
      <w:proofErr w:type="spellEnd"/>
      <w:r>
        <w:rPr>
          <w:color w:val="000000"/>
          <w:shd w:val="clear" w:color="auto" w:fill="FFFFFF"/>
        </w:rPr>
        <w:t xml:space="preserve">, CAS </w:t>
      </w:r>
      <w:proofErr w:type="spellStart"/>
      <w:r>
        <w:rPr>
          <w:color w:val="000000"/>
          <w:shd w:val="clear" w:color="auto" w:fill="FFFFFF"/>
        </w:rPr>
        <w:t>registry</w:t>
      </w:r>
      <w:proofErr w:type="spellEnd"/>
      <w:r>
        <w:rPr>
          <w:color w:val="000000"/>
          <w:shd w:val="clear" w:color="auto" w:fill="FFFFFF"/>
        </w:rPr>
        <w:t xml:space="preserve"> </w:t>
      </w:r>
      <w:proofErr w:type="spellStart"/>
      <w:r>
        <w:rPr>
          <w:color w:val="000000"/>
          <w:shd w:val="clear" w:color="auto" w:fill="FFFFFF"/>
        </w:rPr>
        <w:t>number</w:t>
      </w:r>
      <w:proofErr w:type="spellEnd"/>
      <w:r>
        <w:rPr>
          <w:color w:val="000000"/>
          <w:shd w:val="clear" w:color="auto" w:fill="FFFFFF"/>
        </w:rPr>
        <w:t xml:space="preserve"> 106-24-1. </w:t>
      </w:r>
      <w:proofErr w:type="spellStart"/>
      <w:r>
        <w:rPr>
          <w:color w:val="000000"/>
          <w:shd w:val="clear" w:color="auto" w:fill="FFFFFF"/>
        </w:rPr>
        <w:t>Food</w:t>
      </w:r>
      <w:proofErr w:type="spellEnd"/>
      <w:r>
        <w:rPr>
          <w:color w:val="000000"/>
          <w:shd w:val="clear" w:color="auto" w:fill="FFFFFF"/>
        </w:rPr>
        <w:t xml:space="preserve"> </w:t>
      </w:r>
      <w:proofErr w:type="spellStart"/>
      <w:r>
        <w:rPr>
          <w:color w:val="000000"/>
          <w:shd w:val="clear" w:color="auto" w:fill="FFFFFF"/>
        </w:rPr>
        <w:t>Chem</w:t>
      </w:r>
      <w:proofErr w:type="spellEnd"/>
      <w:r>
        <w:rPr>
          <w:color w:val="000000"/>
          <w:shd w:val="clear" w:color="auto" w:fill="FFFFFF"/>
        </w:rPr>
        <w:t xml:space="preserve"> </w:t>
      </w:r>
      <w:proofErr w:type="spellStart"/>
      <w:r>
        <w:rPr>
          <w:color w:val="000000"/>
          <w:shd w:val="clear" w:color="auto" w:fill="FFFFFF"/>
        </w:rPr>
        <w:t>Toxicol</w:t>
      </w:r>
      <w:proofErr w:type="spellEnd"/>
      <w:r>
        <w:rPr>
          <w:color w:val="000000"/>
          <w:shd w:val="clear" w:color="auto" w:fill="FFFFFF"/>
        </w:rPr>
        <w:t xml:space="preserve">. 2022 Sep;167 </w:t>
      </w:r>
      <w:proofErr w:type="spellStart"/>
      <w:r>
        <w:rPr>
          <w:color w:val="000000"/>
          <w:shd w:val="clear" w:color="auto" w:fill="FFFFFF"/>
        </w:rPr>
        <w:t>Suppl</w:t>
      </w:r>
      <w:proofErr w:type="spellEnd"/>
      <w:r>
        <w:rPr>
          <w:color w:val="000000"/>
          <w:shd w:val="clear" w:color="auto" w:fill="FFFFFF"/>
        </w:rPr>
        <w:t xml:space="preserve"> 1:113341. </w:t>
      </w:r>
      <w:proofErr w:type="spellStart"/>
      <w:proofErr w:type="gramStart"/>
      <w:r>
        <w:rPr>
          <w:color w:val="000000"/>
          <w:shd w:val="clear" w:color="auto" w:fill="FFFFFF"/>
        </w:rPr>
        <w:t>doi</w:t>
      </w:r>
      <w:proofErr w:type="spellEnd"/>
      <w:proofErr w:type="gramEnd"/>
      <w:r>
        <w:rPr>
          <w:color w:val="000000"/>
          <w:shd w:val="clear" w:color="auto" w:fill="FFFFFF"/>
        </w:rPr>
        <w:t xml:space="preserve">: 10.1016/j.fct.2022.113341. </w:t>
      </w:r>
      <w:proofErr w:type="spellStart"/>
      <w:r>
        <w:rPr>
          <w:color w:val="000000"/>
          <w:shd w:val="clear" w:color="auto" w:fill="FFFFFF"/>
        </w:rPr>
        <w:t>Epub</w:t>
      </w:r>
      <w:proofErr w:type="spellEnd"/>
      <w:r>
        <w:rPr>
          <w:color w:val="000000"/>
          <w:shd w:val="clear" w:color="auto" w:fill="FFFFFF"/>
        </w:rPr>
        <w:t xml:space="preserve"> 2022 </w:t>
      </w:r>
      <w:proofErr w:type="spellStart"/>
      <w:r>
        <w:rPr>
          <w:color w:val="000000"/>
          <w:shd w:val="clear" w:color="auto" w:fill="FFFFFF"/>
        </w:rPr>
        <w:t>Aug</w:t>
      </w:r>
      <w:proofErr w:type="spellEnd"/>
      <w:r>
        <w:rPr>
          <w:color w:val="000000"/>
          <w:shd w:val="clear" w:color="auto" w:fill="FFFFFF"/>
        </w:rPr>
        <w:t xml:space="preserve"> 5. PMID: 35940332.</w:t>
      </w:r>
    </w:p>
    <w:p w14:paraId="11DB935D" w14:textId="126B8063" w:rsidR="009A1789" w:rsidRDefault="009A1789" w:rsidP="009C516A">
      <w:pPr>
        <w:pStyle w:val="NormalWeb"/>
        <w:spacing w:before="120" w:after="120" w:line="276" w:lineRule="auto"/>
        <w:ind w:left="709" w:hanging="709"/>
        <w:jc w:val="both"/>
        <w:rPr>
          <w:color w:val="000000"/>
        </w:rPr>
      </w:pPr>
      <w:proofErr w:type="spellStart"/>
      <w:r w:rsidRPr="009A1789">
        <w:rPr>
          <w:color w:val="000000"/>
        </w:rPr>
        <w:t>Ashwini</w:t>
      </w:r>
      <w:proofErr w:type="spellEnd"/>
      <w:r w:rsidRPr="009A1789">
        <w:rPr>
          <w:color w:val="000000"/>
        </w:rPr>
        <w:t xml:space="preserve"> M, </w:t>
      </w:r>
      <w:proofErr w:type="spellStart"/>
      <w:r w:rsidRPr="009A1789">
        <w:rPr>
          <w:color w:val="000000"/>
        </w:rPr>
        <w:t>Jagadishchandra</w:t>
      </w:r>
      <w:proofErr w:type="spellEnd"/>
      <w:r w:rsidRPr="009A1789">
        <w:rPr>
          <w:color w:val="000000"/>
        </w:rPr>
        <w:t xml:space="preserve"> K, </w:t>
      </w:r>
      <w:proofErr w:type="spellStart"/>
      <w:r w:rsidRPr="009A1789">
        <w:rPr>
          <w:color w:val="000000"/>
        </w:rPr>
        <w:t>Saraswathi</w:t>
      </w:r>
      <w:proofErr w:type="spellEnd"/>
      <w:r w:rsidRPr="009A1789">
        <w:rPr>
          <w:color w:val="000000"/>
        </w:rPr>
        <w:t xml:space="preserve"> T. </w:t>
      </w:r>
      <w:proofErr w:type="spellStart"/>
      <w:r w:rsidRPr="009A1789">
        <w:rPr>
          <w:color w:val="000000"/>
        </w:rPr>
        <w:t>Phytochemical</w:t>
      </w:r>
      <w:proofErr w:type="spellEnd"/>
      <w:r w:rsidRPr="009A1789">
        <w:rPr>
          <w:color w:val="000000"/>
        </w:rPr>
        <w:t xml:space="preserve"> </w:t>
      </w:r>
      <w:proofErr w:type="spellStart"/>
      <w:r w:rsidRPr="009A1789">
        <w:rPr>
          <w:color w:val="000000"/>
        </w:rPr>
        <w:t>profiling</w:t>
      </w:r>
      <w:proofErr w:type="spellEnd"/>
      <w:r w:rsidRPr="009A1789">
        <w:rPr>
          <w:color w:val="000000"/>
        </w:rPr>
        <w:t xml:space="preserve"> </w:t>
      </w:r>
      <w:proofErr w:type="spellStart"/>
      <w:r w:rsidRPr="009A1789">
        <w:rPr>
          <w:color w:val="000000"/>
        </w:rPr>
        <w:t>from</w:t>
      </w:r>
      <w:proofErr w:type="spellEnd"/>
      <w:r w:rsidRPr="009A1789">
        <w:rPr>
          <w:color w:val="000000"/>
        </w:rPr>
        <w:t xml:space="preserve"> </w:t>
      </w:r>
      <w:proofErr w:type="spellStart"/>
      <w:r w:rsidRPr="009A1789">
        <w:rPr>
          <w:color w:val="000000"/>
        </w:rPr>
        <w:t>leaf</w:t>
      </w:r>
      <w:proofErr w:type="spellEnd"/>
      <w:r w:rsidRPr="009A1789">
        <w:rPr>
          <w:color w:val="000000"/>
        </w:rPr>
        <w:t xml:space="preserve"> </w:t>
      </w:r>
      <w:proofErr w:type="spellStart"/>
      <w:r w:rsidRPr="009A1789">
        <w:rPr>
          <w:color w:val="000000"/>
        </w:rPr>
        <w:t>extract</w:t>
      </w:r>
      <w:proofErr w:type="spellEnd"/>
      <w:r w:rsidRPr="009A1789">
        <w:rPr>
          <w:color w:val="000000"/>
        </w:rPr>
        <w:t xml:space="preserve"> of </w:t>
      </w:r>
      <w:proofErr w:type="spellStart"/>
      <w:r w:rsidRPr="009A1789">
        <w:rPr>
          <w:color w:val="000000"/>
        </w:rPr>
        <w:t>wild</w:t>
      </w:r>
      <w:proofErr w:type="spellEnd"/>
      <w:r w:rsidRPr="009A1789">
        <w:rPr>
          <w:color w:val="000000"/>
        </w:rPr>
        <w:t xml:space="preserve"> </w:t>
      </w:r>
      <w:proofErr w:type="spellStart"/>
      <w:r w:rsidRPr="009A1789">
        <w:rPr>
          <w:color w:val="000000"/>
        </w:rPr>
        <w:t>genotype</w:t>
      </w:r>
      <w:proofErr w:type="spellEnd"/>
      <w:r w:rsidRPr="009A1789">
        <w:rPr>
          <w:color w:val="000000"/>
        </w:rPr>
        <w:t xml:space="preserve"> of </w:t>
      </w:r>
      <w:proofErr w:type="spellStart"/>
      <w:r w:rsidRPr="009A1789">
        <w:rPr>
          <w:color w:val="000000"/>
        </w:rPr>
        <w:t>Cymbopogon</w:t>
      </w:r>
      <w:proofErr w:type="spellEnd"/>
      <w:r w:rsidRPr="009A1789">
        <w:rPr>
          <w:color w:val="000000"/>
        </w:rPr>
        <w:t xml:space="preserve"> </w:t>
      </w:r>
      <w:proofErr w:type="spellStart"/>
      <w:r w:rsidRPr="009A1789">
        <w:rPr>
          <w:color w:val="000000"/>
        </w:rPr>
        <w:t>martinii</w:t>
      </w:r>
      <w:proofErr w:type="spellEnd"/>
      <w:r w:rsidRPr="009A1789">
        <w:rPr>
          <w:color w:val="000000"/>
        </w:rPr>
        <w:t xml:space="preserve">. International </w:t>
      </w:r>
      <w:proofErr w:type="spellStart"/>
      <w:r w:rsidRPr="009A1789">
        <w:rPr>
          <w:color w:val="000000"/>
        </w:rPr>
        <w:t>Research</w:t>
      </w:r>
      <w:proofErr w:type="spellEnd"/>
      <w:r w:rsidRPr="009A1789">
        <w:rPr>
          <w:color w:val="000000"/>
        </w:rPr>
        <w:t xml:space="preserve"> </w:t>
      </w:r>
      <w:proofErr w:type="spellStart"/>
      <w:r w:rsidRPr="009A1789">
        <w:rPr>
          <w:color w:val="000000"/>
        </w:rPr>
        <w:t>Journal</w:t>
      </w:r>
      <w:proofErr w:type="spellEnd"/>
      <w:r w:rsidRPr="009A1789">
        <w:rPr>
          <w:color w:val="000000"/>
        </w:rPr>
        <w:t xml:space="preserve"> of </w:t>
      </w:r>
      <w:proofErr w:type="spellStart"/>
      <w:r w:rsidRPr="009A1789">
        <w:rPr>
          <w:color w:val="000000"/>
        </w:rPr>
        <w:t>Plant</w:t>
      </w:r>
      <w:proofErr w:type="spellEnd"/>
      <w:r w:rsidRPr="009A1789">
        <w:rPr>
          <w:color w:val="000000"/>
        </w:rPr>
        <w:t xml:space="preserve"> </w:t>
      </w:r>
      <w:proofErr w:type="spellStart"/>
      <w:r w:rsidRPr="009A1789">
        <w:rPr>
          <w:color w:val="000000"/>
        </w:rPr>
        <w:t>Science</w:t>
      </w:r>
      <w:proofErr w:type="spellEnd"/>
      <w:r w:rsidRPr="009A1789">
        <w:rPr>
          <w:color w:val="000000"/>
        </w:rPr>
        <w:t>. 2023;14(2).</w:t>
      </w:r>
    </w:p>
    <w:p w14:paraId="41290FBC" w14:textId="64734B7E" w:rsidR="00BA4560" w:rsidRDefault="00BA4560" w:rsidP="009C516A">
      <w:pPr>
        <w:pStyle w:val="NormalWeb"/>
        <w:spacing w:before="120" w:after="120" w:line="276" w:lineRule="auto"/>
        <w:ind w:left="709" w:hanging="709"/>
        <w:jc w:val="both"/>
        <w:rPr>
          <w:color w:val="000000"/>
        </w:rPr>
      </w:pPr>
      <w:proofErr w:type="spellStart"/>
      <w:r w:rsidRPr="00BA4560">
        <w:rPr>
          <w:color w:val="000000"/>
        </w:rPr>
        <w:t>Ayenew</w:t>
      </w:r>
      <w:proofErr w:type="spellEnd"/>
      <w:r w:rsidRPr="00BA4560">
        <w:rPr>
          <w:color w:val="000000"/>
        </w:rPr>
        <w:t xml:space="preserve"> KD, </w:t>
      </w:r>
      <w:proofErr w:type="spellStart"/>
      <w:r w:rsidRPr="00BA4560">
        <w:rPr>
          <w:color w:val="000000"/>
        </w:rPr>
        <w:t>Sewale</w:t>
      </w:r>
      <w:proofErr w:type="spellEnd"/>
      <w:r w:rsidRPr="00BA4560">
        <w:rPr>
          <w:color w:val="000000"/>
        </w:rPr>
        <w:t xml:space="preserve"> Y, </w:t>
      </w:r>
      <w:proofErr w:type="spellStart"/>
      <w:r w:rsidRPr="00BA4560">
        <w:rPr>
          <w:color w:val="000000"/>
        </w:rPr>
        <w:t>Amare</w:t>
      </w:r>
      <w:proofErr w:type="spellEnd"/>
      <w:r w:rsidRPr="00BA4560">
        <w:rPr>
          <w:color w:val="000000"/>
        </w:rPr>
        <w:t xml:space="preserve"> YE, </w:t>
      </w:r>
      <w:proofErr w:type="spellStart"/>
      <w:r w:rsidRPr="00BA4560">
        <w:rPr>
          <w:color w:val="000000"/>
        </w:rPr>
        <w:t>Ayalew</w:t>
      </w:r>
      <w:proofErr w:type="spellEnd"/>
      <w:r w:rsidRPr="00BA4560">
        <w:rPr>
          <w:color w:val="000000"/>
        </w:rPr>
        <w:t xml:space="preserve"> A. </w:t>
      </w:r>
      <w:proofErr w:type="spellStart"/>
      <w:r w:rsidRPr="00BA4560">
        <w:rPr>
          <w:color w:val="000000"/>
        </w:rPr>
        <w:t>Acute</w:t>
      </w:r>
      <w:proofErr w:type="spellEnd"/>
      <w:r w:rsidRPr="00BA4560">
        <w:rPr>
          <w:color w:val="000000"/>
        </w:rPr>
        <w:t xml:space="preserve"> </w:t>
      </w:r>
      <w:proofErr w:type="spellStart"/>
      <w:r w:rsidRPr="00BA4560">
        <w:rPr>
          <w:color w:val="000000"/>
        </w:rPr>
        <w:t>and</w:t>
      </w:r>
      <w:proofErr w:type="spellEnd"/>
      <w:r w:rsidRPr="00BA4560">
        <w:rPr>
          <w:color w:val="000000"/>
        </w:rPr>
        <w:t xml:space="preserve"> </w:t>
      </w:r>
      <w:proofErr w:type="spellStart"/>
      <w:r w:rsidRPr="00BA4560">
        <w:rPr>
          <w:color w:val="000000"/>
        </w:rPr>
        <w:t>Subacute</w:t>
      </w:r>
      <w:proofErr w:type="spellEnd"/>
      <w:r w:rsidRPr="00BA4560">
        <w:rPr>
          <w:color w:val="000000"/>
        </w:rPr>
        <w:t xml:space="preserve"> </w:t>
      </w:r>
      <w:proofErr w:type="spellStart"/>
      <w:r w:rsidRPr="00BA4560">
        <w:rPr>
          <w:color w:val="000000"/>
        </w:rPr>
        <w:t>Toxicity</w:t>
      </w:r>
      <w:proofErr w:type="spellEnd"/>
      <w:r w:rsidRPr="00BA4560">
        <w:rPr>
          <w:color w:val="000000"/>
        </w:rPr>
        <w:t xml:space="preserve"> </w:t>
      </w:r>
      <w:proofErr w:type="spellStart"/>
      <w:r w:rsidRPr="00BA4560">
        <w:rPr>
          <w:color w:val="000000"/>
        </w:rPr>
        <w:t>Study</w:t>
      </w:r>
      <w:proofErr w:type="spellEnd"/>
      <w:r w:rsidRPr="00BA4560">
        <w:rPr>
          <w:color w:val="000000"/>
        </w:rPr>
        <w:t xml:space="preserve"> of </w:t>
      </w:r>
      <w:proofErr w:type="spellStart"/>
      <w:r w:rsidRPr="00BA4560">
        <w:rPr>
          <w:color w:val="000000"/>
        </w:rPr>
        <w:t>Essential</w:t>
      </w:r>
      <w:proofErr w:type="spellEnd"/>
      <w:r w:rsidRPr="00BA4560">
        <w:rPr>
          <w:color w:val="000000"/>
        </w:rPr>
        <w:t xml:space="preserve"> </w:t>
      </w:r>
      <w:proofErr w:type="spellStart"/>
      <w:r w:rsidRPr="00BA4560">
        <w:rPr>
          <w:color w:val="000000"/>
        </w:rPr>
        <w:t>Oil</w:t>
      </w:r>
      <w:proofErr w:type="spellEnd"/>
      <w:r w:rsidRPr="00BA4560">
        <w:rPr>
          <w:color w:val="000000"/>
        </w:rPr>
        <w:t xml:space="preserve"> of </w:t>
      </w:r>
      <w:proofErr w:type="spellStart"/>
      <w:r w:rsidRPr="00BA4560">
        <w:rPr>
          <w:color w:val="000000"/>
        </w:rPr>
        <w:t>Cymbopogon</w:t>
      </w:r>
      <w:proofErr w:type="spellEnd"/>
      <w:r w:rsidRPr="00BA4560">
        <w:rPr>
          <w:color w:val="000000"/>
        </w:rPr>
        <w:t xml:space="preserve"> </w:t>
      </w:r>
      <w:proofErr w:type="spellStart"/>
      <w:r w:rsidRPr="00BA4560">
        <w:rPr>
          <w:color w:val="000000"/>
        </w:rPr>
        <w:t>martinii</w:t>
      </w:r>
      <w:proofErr w:type="spellEnd"/>
      <w:r w:rsidRPr="00BA4560">
        <w:rPr>
          <w:color w:val="000000"/>
        </w:rPr>
        <w:t xml:space="preserve"> in </w:t>
      </w:r>
      <w:proofErr w:type="spellStart"/>
      <w:r w:rsidRPr="00BA4560">
        <w:rPr>
          <w:color w:val="000000"/>
        </w:rPr>
        <w:t>Mice</w:t>
      </w:r>
      <w:proofErr w:type="spellEnd"/>
      <w:r w:rsidRPr="00BA4560">
        <w:rPr>
          <w:color w:val="000000"/>
        </w:rPr>
        <w:t xml:space="preserve">. J </w:t>
      </w:r>
      <w:proofErr w:type="spellStart"/>
      <w:r w:rsidRPr="00BA4560">
        <w:rPr>
          <w:color w:val="000000"/>
        </w:rPr>
        <w:t>Toxicol</w:t>
      </w:r>
      <w:proofErr w:type="spellEnd"/>
      <w:r w:rsidRPr="00BA4560">
        <w:rPr>
          <w:color w:val="000000"/>
        </w:rPr>
        <w:t xml:space="preserve">. </w:t>
      </w:r>
      <w:proofErr w:type="gramStart"/>
      <w:r w:rsidRPr="00BA4560">
        <w:rPr>
          <w:color w:val="000000"/>
        </w:rPr>
        <w:t>2022;2022:1995578</w:t>
      </w:r>
      <w:proofErr w:type="gramEnd"/>
      <w:r w:rsidRPr="00BA4560">
        <w:rPr>
          <w:color w:val="000000"/>
        </w:rPr>
        <w:t>.</w:t>
      </w:r>
    </w:p>
    <w:p w14:paraId="2DBD1D88" w14:textId="6DB68BC0" w:rsidR="00BA4560" w:rsidRPr="009A1789" w:rsidRDefault="00BA4560" w:rsidP="009C516A">
      <w:pPr>
        <w:pStyle w:val="NormalWeb"/>
        <w:spacing w:before="120" w:after="120" w:line="276" w:lineRule="auto"/>
        <w:ind w:left="709" w:hanging="709"/>
        <w:jc w:val="both"/>
        <w:rPr>
          <w:color w:val="000000"/>
        </w:rPr>
      </w:pPr>
      <w:r w:rsidRPr="00BA4560">
        <w:rPr>
          <w:color w:val="000000"/>
        </w:rPr>
        <w:t xml:space="preserve">Ben </w:t>
      </w:r>
      <w:proofErr w:type="spellStart"/>
      <w:r w:rsidRPr="00BA4560">
        <w:rPr>
          <w:color w:val="000000"/>
        </w:rPr>
        <w:t>Ammar</w:t>
      </w:r>
      <w:proofErr w:type="spellEnd"/>
      <w:r w:rsidRPr="00BA4560">
        <w:rPr>
          <w:color w:val="000000"/>
        </w:rPr>
        <w:t xml:space="preserve"> R. </w:t>
      </w:r>
      <w:proofErr w:type="spellStart"/>
      <w:r w:rsidRPr="00BA4560">
        <w:rPr>
          <w:color w:val="000000"/>
        </w:rPr>
        <w:t>Potential</w:t>
      </w:r>
      <w:proofErr w:type="spellEnd"/>
      <w:r w:rsidRPr="00BA4560">
        <w:rPr>
          <w:color w:val="000000"/>
        </w:rPr>
        <w:t xml:space="preserve"> </w:t>
      </w:r>
      <w:proofErr w:type="spellStart"/>
      <w:r w:rsidRPr="00BA4560">
        <w:rPr>
          <w:color w:val="000000"/>
        </w:rPr>
        <w:t>Effects</w:t>
      </w:r>
      <w:proofErr w:type="spellEnd"/>
      <w:r w:rsidRPr="00BA4560">
        <w:rPr>
          <w:color w:val="000000"/>
        </w:rPr>
        <w:t xml:space="preserve"> of </w:t>
      </w:r>
      <w:proofErr w:type="spellStart"/>
      <w:r w:rsidRPr="00BA4560">
        <w:rPr>
          <w:color w:val="000000"/>
        </w:rPr>
        <w:t>Geraniol</w:t>
      </w:r>
      <w:proofErr w:type="spellEnd"/>
      <w:r w:rsidRPr="00BA4560">
        <w:rPr>
          <w:color w:val="000000"/>
        </w:rPr>
        <w:t xml:space="preserve"> on </w:t>
      </w:r>
      <w:proofErr w:type="spellStart"/>
      <w:r w:rsidRPr="00BA4560">
        <w:rPr>
          <w:color w:val="000000"/>
        </w:rPr>
        <w:t>Cancer</w:t>
      </w:r>
      <w:proofErr w:type="spellEnd"/>
      <w:r w:rsidRPr="00BA4560">
        <w:rPr>
          <w:color w:val="000000"/>
        </w:rPr>
        <w:t xml:space="preserve"> </w:t>
      </w:r>
      <w:proofErr w:type="spellStart"/>
      <w:r w:rsidRPr="00BA4560">
        <w:rPr>
          <w:color w:val="000000"/>
        </w:rPr>
        <w:t>and</w:t>
      </w:r>
      <w:proofErr w:type="spellEnd"/>
      <w:r w:rsidRPr="00BA4560">
        <w:rPr>
          <w:color w:val="000000"/>
        </w:rPr>
        <w:t xml:space="preserve"> </w:t>
      </w:r>
      <w:proofErr w:type="spellStart"/>
      <w:r w:rsidRPr="00BA4560">
        <w:rPr>
          <w:color w:val="000000"/>
        </w:rPr>
        <w:t>Inflammation-Related</w:t>
      </w:r>
      <w:proofErr w:type="spellEnd"/>
      <w:r w:rsidRPr="00BA4560">
        <w:rPr>
          <w:color w:val="000000"/>
        </w:rPr>
        <w:t xml:space="preserve"> </w:t>
      </w:r>
      <w:proofErr w:type="spellStart"/>
      <w:r w:rsidRPr="00BA4560">
        <w:rPr>
          <w:color w:val="000000"/>
        </w:rPr>
        <w:t>Diseases</w:t>
      </w:r>
      <w:proofErr w:type="spellEnd"/>
      <w:r w:rsidRPr="00BA4560">
        <w:rPr>
          <w:color w:val="000000"/>
        </w:rPr>
        <w:t xml:space="preserve">: A </w:t>
      </w:r>
      <w:proofErr w:type="spellStart"/>
      <w:r w:rsidRPr="00BA4560">
        <w:rPr>
          <w:color w:val="000000"/>
        </w:rPr>
        <w:t>Review</w:t>
      </w:r>
      <w:proofErr w:type="spellEnd"/>
      <w:r w:rsidRPr="00BA4560">
        <w:rPr>
          <w:color w:val="000000"/>
        </w:rPr>
        <w:t xml:space="preserve"> of </w:t>
      </w:r>
      <w:proofErr w:type="spellStart"/>
      <w:r w:rsidRPr="00BA4560">
        <w:rPr>
          <w:color w:val="000000"/>
        </w:rPr>
        <w:t>the</w:t>
      </w:r>
      <w:proofErr w:type="spellEnd"/>
      <w:r w:rsidRPr="00BA4560">
        <w:rPr>
          <w:color w:val="000000"/>
        </w:rPr>
        <w:t xml:space="preserve"> </w:t>
      </w:r>
      <w:proofErr w:type="spellStart"/>
      <w:r w:rsidRPr="00BA4560">
        <w:rPr>
          <w:color w:val="000000"/>
        </w:rPr>
        <w:t>Recent</w:t>
      </w:r>
      <w:proofErr w:type="spellEnd"/>
      <w:r w:rsidRPr="00BA4560">
        <w:rPr>
          <w:color w:val="000000"/>
        </w:rPr>
        <w:t xml:space="preserve"> </w:t>
      </w:r>
      <w:proofErr w:type="spellStart"/>
      <w:r w:rsidRPr="00BA4560">
        <w:rPr>
          <w:color w:val="000000"/>
        </w:rPr>
        <w:t>Research</w:t>
      </w:r>
      <w:proofErr w:type="spellEnd"/>
      <w:r w:rsidRPr="00BA4560">
        <w:rPr>
          <w:color w:val="000000"/>
        </w:rPr>
        <w:t xml:space="preserve"> </w:t>
      </w:r>
      <w:proofErr w:type="spellStart"/>
      <w:r w:rsidRPr="00BA4560">
        <w:rPr>
          <w:color w:val="000000"/>
        </w:rPr>
        <w:t>Findings</w:t>
      </w:r>
      <w:proofErr w:type="spellEnd"/>
      <w:r w:rsidRPr="00BA4560">
        <w:rPr>
          <w:color w:val="000000"/>
        </w:rPr>
        <w:t xml:space="preserve">. </w:t>
      </w:r>
      <w:proofErr w:type="spellStart"/>
      <w:r w:rsidRPr="00BA4560">
        <w:rPr>
          <w:color w:val="000000"/>
        </w:rPr>
        <w:t>Molecules</w:t>
      </w:r>
      <w:proofErr w:type="spellEnd"/>
      <w:r w:rsidRPr="00BA4560">
        <w:rPr>
          <w:color w:val="000000"/>
        </w:rPr>
        <w:t xml:space="preserve">. 2023 </w:t>
      </w:r>
      <w:proofErr w:type="spellStart"/>
      <w:r w:rsidRPr="00BA4560">
        <w:rPr>
          <w:color w:val="000000"/>
        </w:rPr>
        <w:t>Apr</w:t>
      </w:r>
      <w:proofErr w:type="spellEnd"/>
      <w:r w:rsidRPr="00BA4560">
        <w:rPr>
          <w:color w:val="000000"/>
        </w:rPr>
        <w:t xml:space="preserve"> 23;28(9):3669. </w:t>
      </w:r>
      <w:proofErr w:type="spellStart"/>
      <w:proofErr w:type="gramStart"/>
      <w:r w:rsidRPr="00BA4560">
        <w:rPr>
          <w:color w:val="000000"/>
        </w:rPr>
        <w:t>doi</w:t>
      </w:r>
      <w:proofErr w:type="spellEnd"/>
      <w:proofErr w:type="gramEnd"/>
      <w:r w:rsidRPr="00BA4560">
        <w:rPr>
          <w:color w:val="000000"/>
        </w:rPr>
        <w:t>: 10.3390/molecules28093669. PMID: 37175079; PMCID: PMC10180430.</w:t>
      </w:r>
    </w:p>
    <w:p w14:paraId="2FB10132" w14:textId="77777777" w:rsidR="009A1789" w:rsidRPr="009A1789" w:rsidRDefault="009A1789" w:rsidP="009C516A">
      <w:pPr>
        <w:pStyle w:val="NormalWeb"/>
        <w:spacing w:before="120" w:after="120" w:line="276" w:lineRule="auto"/>
        <w:jc w:val="both"/>
        <w:rPr>
          <w:color w:val="000000"/>
        </w:rPr>
      </w:pPr>
      <w:r w:rsidRPr="009A1789">
        <w:rPr>
          <w:color w:val="000000"/>
        </w:rPr>
        <w:t xml:space="preserve">BVL. </w:t>
      </w:r>
      <w:proofErr w:type="spellStart"/>
      <w:r w:rsidRPr="009A1789">
        <w:rPr>
          <w:color w:val="000000"/>
        </w:rPr>
        <w:t>Stofflisten</w:t>
      </w:r>
      <w:proofErr w:type="spellEnd"/>
      <w:r w:rsidRPr="009A1789">
        <w:rPr>
          <w:color w:val="000000"/>
        </w:rPr>
        <w:t xml:space="preserve"> </w:t>
      </w:r>
      <w:proofErr w:type="spellStart"/>
      <w:r w:rsidRPr="009A1789">
        <w:rPr>
          <w:color w:val="000000"/>
        </w:rPr>
        <w:t>des</w:t>
      </w:r>
      <w:proofErr w:type="spellEnd"/>
      <w:r w:rsidRPr="009A1789">
        <w:rPr>
          <w:color w:val="000000"/>
        </w:rPr>
        <w:t xml:space="preserve"> </w:t>
      </w:r>
      <w:proofErr w:type="spellStart"/>
      <w:r w:rsidRPr="009A1789">
        <w:rPr>
          <w:color w:val="000000"/>
        </w:rPr>
        <w:t>Bundes</w:t>
      </w:r>
      <w:proofErr w:type="spellEnd"/>
      <w:r w:rsidRPr="009A1789">
        <w:rPr>
          <w:color w:val="000000"/>
        </w:rPr>
        <w:t xml:space="preserve"> </w:t>
      </w:r>
      <w:proofErr w:type="spellStart"/>
      <w:r w:rsidRPr="009A1789">
        <w:rPr>
          <w:color w:val="000000"/>
        </w:rPr>
        <w:t>und</w:t>
      </w:r>
      <w:proofErr w:type="spellEnd"/>
      <w:r w:rsidRPr="009A1789">
        <w:rPr>
          <w:color w:val="000000"/>
        </w:rPr>
        <w:t xml:space="preserve"> der </w:t>
      </w:r>
      <w:proofErr w:type="spellStart"/>
      <w:r w:rsidRPr="009A1789">
        <w:rPr>
          <w:color w:val="000000"/>
        </w:rPr>
        <w:t>Bundesländer</w:t>
      </w:r>
      <w:proofErr w:type="spellEnd"/>
      <w:r w:rsidRPr="009A1789">
        <w:rPr>
          <w:color w:val="000000"/>
        </w:rPr>
        <w:t xml:space="preserve">. </w:t>
      </w:r>
      <w:proofErr w:type="spellStart"/>
      <w:r w:rsidRPr="009A1789">
        <w:rPr>
          <w:color w:val="000000"/>
        </w:rPr>
        <w:t>Available</w:t>
      </w:r>
      <w:proofErr w:type="spellEnd"/>
      <w:r w:rsidRPr="009A1789">
        <w:rPr>
          <w:color w:val="000000"/>
        </w:rPr>
        <w:t xml:space="preserve"> </w:t>
      </w:r>
      <w:proofErr w:type="spellStart"/>
      <w:r w:rsidRPr="009A1789">
        <w:rPr>
          <w:color w:val="000000"/>
        </w:rPr>
        <w:t>from</w:t>
      </w:r>
      <w:proofErr w:type="spellEnd"/>
      <w:r w:rsidRPr="009A1789">
        <w:rPr>
          <w:color w:val="000000"/>
        </w:rPr>
        <w:t>: https://www.bvl.bund.de</w:t>
      </w:r>
    </w:p>
    <w:p w14:paraId="3487ADA9" w14:textId="77777777" w:rsidR="009A1789" w:rsidRPr="009A1789" w:rsidRDefault="009A1789" w:rsidP="009C516A">
      <w:pPr>
        <w:pStyle w:val="NormalWeb"/>
        <w:spacing w:before="120" w:after="120" w:line="276" w:lineRule="auto"/>
        <w:ind w:firstLine="567"/>
        <w:jc w:val="both"/>
        <w:rPr>
          <w:color w:val="000000"/>
        </w:rPr>
      </w:pPr>
      <w:r w:rsidRPr="009A1789">
        <w:rPr>
          <w:color w:val="000000"/>
        </w:rPr>
        <w:t xml:space="preserve"> (</w:t>
      </w:r>
      <w:proofErr w:type="spellStart"/>
      <w:r w:rsidRPr="009A1789">
        <w:rPr>
          <w:color w:val="000000"/>
        </w:rPr>
        <w:t>Accessed</w:t>
      </w:r>
      <w:proofErr w:type="spellEnd"/>
      <w:r w:rsidRPr="009A1789">
        <w:rPr>
          <w:color w:val="000000"/>
        </w:rPr>
        <w:t xml:space="preserve">: 25 </w:t>
      </w:r>
      <w:proofErr w:type="spellStart"/>
      <w:r w:rsidRPr="009A1789">
        <w:rPr>
          <w:color w:val="000000"/>
        </w:rPr>
        <w:t>Dec</w:t>
      </w:r>
      <w:proofErr w:type="spellEnd"/>
      <w:r w:rsidRPr="009A1789">
        <w:rPr>
          <w:color w:val="000000"/>
        </w:rPr>
        <w:t xml:space="preserve"> 2024).</w:t>
      </w:r>
    </w:p>
    <w:p w14:paraId="1ECDDE60" w14:textId="21BDE7F3" w:rsidR="009A1789" w:rsidRPr="009A1789" w:rsidRDefault="009A1789" w:rsidP="009C516A">
      <w:pPr>
        <w:pStyle w:val="NormalWeb"/>
        <w:spacing w:before="120" w:after="120" w:line="276" w:lineRule="auto"/>
        <w:ind w:left="709" w:hanging="709"/>
        <w:jc w:val="both"/>
        <w:rPr>
          <w:color w:val="000000"/>
        </w:rPr>
      </w:pPr>
      <w:r w:rsidRPr="009A1789">
        <w:rPr>
          <w:color w:val="000000"/>
        </w:rPr>
        <w:t xml:space="preserve">BMASGK. </w:t>
      </w:r>
      <w:proofErr w:type="spellStart"/>
      <w:r w:rsidRPr="009A1789">
        <w:rPr>
          <w:color w:val="000000"/>
        </w:rPr>
        <w:t>Österreichische</w:t>
      </w:r>
      <w:proofErr w:type="spellEnd"/>
      <w:r w:rsidRPr="009A1789">
        <w:rPr>
          <w:color w:val="000000"/>
        </w:rPr>
        <w:t xml:space="preserve"> Liste </w:t>
      </w:r>
      <w:proofErr w:type="spellStart"/>
      <w:r w:rsidRPr="009A1789">
        <w:rPr>
          <w:color w:val="000000"/>
        </w:rPr>
        <w:t>essbarer</w:t>
      </w:r>
      <w:proofErr w:type="spellEnd"/>
      <w:r w:rsidRPr="009A1789">
        <w:rPr>
          <w:color w:val="000000"/>
        </w:rPr>
        <w:t xml:space="preserve"> </w:t>
      </w:r>
      <w:proofErr w:type="spellStart"/>
      <w:r w:rsidRPr="009A1789">
        <w:rPr>
          <w:color w:val="000000"/>
        </w:rPr>
        <w:t>Wildpflanzen</w:t>
      </w:r>
      <w:proofErr w:type="spellEnd"/>
      <w:r w:rsidRPr="009A1789">
        <w:rPr>
          <w:color w:val="000000"/>
        </w:rPr>
        <w:t xml:space="preserve"> </w:t>
      </w:r>
      <w:proofErr w:type="spellStart"/>
      <w:r w:rsidRPr="009A1789">
        <w:rPr>
          <w:color w:val="000000"/>
        </w:rPr>
        <w:t>und</w:t>
      </w:r>
      <w:proofErr w:type="spellEnd"/>
      <w:r w:rsidRPr="009A1789">
        <w:rPr>
          <w:color w:val="000000"/>
        </w:rPr>
        <w:t xml:space="preserve"> </w:t>
      </w:r>
      <w:proofErr w:type="spellStart"/>
      <w:r w:rsidRPr="009A1789">
        <w:rPr>
          <w:color w:val="000000"/>
        </w:rPr>
        <w:t>Blüten</w:t>
      </w:r>
      <w:proofErr w:type="spellEnd"/>
      <w:r w:rsidRPr="009A1789">
        <w:rPr>
          <w:color w:val="000000"/>
        </w:rPr>
        <w:t xml:space="preserve">. </w:t>
      </w:r>
      <w:proofErr w:type="spellStart"/>
      <w:r w:rsidRPr="009A1789">
        <w:rPr>
          <w:color w:val="000000"/>
        </w:rPr>
        <w:t>Available</w:t>
      </w:r>
      <w:proofErr w:type="spellEnd"/>
      <w:r w:rsidRPr="009A1789">
        <w:rPr>
          <w:color w:val="000000"/>
        </w:rPr>
        <w:t xml:space="preserve"> </w:t>
      </w:r>
      <w:proofErr w:type="spellStart"/>
      <w:r w:rsidRPr="009A1789">
        <w:rPr>
          <w:color w:val="000000"/>
        </w:rPr>
        <w:t>from</w:t>
      </w:r>
      <w:proofErr w:type="spellEnd"/>
      <w:r w:rsidRPr="009A1789">
        <w:rPr>
          <w:color w:val="000000"/>
        </w:rPr>
        <w:t>: https://www.lebensmittelbuch.at (</w:t>
      </w:r>
      <w:proofErr w:type="spellStart"/>
      <w:r w:rsidRPr="009A1789">
        <w:rPr>
          <w:color w:val="000000"/>
        </w:rPr>
        <w:t>Accessed</w:t>
      </w:r>
      <w:proofErr w:type="spellEnd"/>
      <w:r w:rsidRPr="009A1789">
        <w:rPr>
          <w:color w:val="000000"/>
        </w:rPr>
        <w:t xml:space="preserve">: 25 </w:t>
      </w:r>
      <w:proofErr w:type="spellStart"/>
      <w:r w:rsidRPr="009A1789">
        <w:rPr>
          <w:color w:val="000000"/>
        </w:rPr>
        <w:t>Dec</w:t>
      </w:r>
      <w:proofErr w:type="spellEnd"/>
      <w:r w:rsidRPr="009A1789">
        <w:rPr>
          <w:color w:val="000000"/>
        </w:rPr>
        <w:t xml:space="preserve"> 2024).</w:t>
      </w:r>
    </w:p>
    <w:p w14:paraId="5AD8D8BF"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Cebollada</w:t>
      </w:r>
      <w:proofErr w:type="spellEnd"/>
      <w:r w:rsidRPr="009A1789">
        <w:rPr>
          <w:color w:val="000000"/>
        </w:rPr>
        <w:t xml:space="preserve"> P, </w:t>
      </w:r>
      <w:proofErr w:type="spellStart"/>
      <w:r w:rsidRPr="009A1789">
        <w:rPr>
          <w:color w:val="000000"/>
        </w:rPr>
        <w:t>Reigada</w:t>
      </w:r>
      <w:proofErr w:type="spellEnd"/>
      <w:r w:rsidRPr="009A1789">
        <w:rPr>
          <w:color w:val="000000"/>
        </w:rPr>
        <w:t xml:space="preserve"> I, </w:t>
      </w:r>
      <w:proofErr w:type="spellStart"/>
      <w:r w:rsidRPr="009A1789">
        <w:rPr>
          <w:color w:val="000000"/>
        </w:rPr>
        <w:t>Alvarado</w:t>
      </w:r>
      <w:proofErr w:type="spellEnd"/>
      <w:r w:rsidRPr="009A1789">
        <w:rPr>
          <w:color w:val="000000"/>
        </w:rPr>
        <w:t xml:space="preserve"> E, et al. </w:t>
      </w:r>
      <w:proofErr w:type="spellStart"/>
      <w:r w:rsidRPr="009A1789">
        <w:rPr>
          <w:color w:val="000000"/>
        </w:rPr>
        <w:t>Antibacterial</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anti-</w:t>
      </w:r>
      <w:proofErr w:type="spellStart"/>
      <w:r w:rsidRPr="009A1789">
        <w:rPr>
          <w:color w:val="000000"/>
        </w:rPr>
        <w:t>biofilm</w:t>
      </w:r>
      <w:proofErr w:type="spellEnd"/>
      <w:r w:rsidRPr="009A1789">
        <w:rPr>
          <w:color w:val="000000"/>
        </w:rPr>
        <w:t xml:space="preserve"> </w:t>
      </w:r>
      <w:proofErr w:type="spellStart"/>
      <w:r w:rsidRPr="009A1789">
        <w:rPr>
          <w:color w:val="000000"/>
        </w:rPr>
        <w:t>properties</w:t>
      </w:r>
      <w:proofErr w:type="spellEnd"/>
      <w:r w:rsidRPr="009A1789">
        <w:rPr>
          <w:color w:val="000000"/>
        </w:rPr>
        <w:t xml:space="preserve"> of </w:t>
      </w:r>
      <w:proofErr w:type="spellStart"/>
      <w:r w:rsidRPr="009A1789">
        <w:rPr>
          <w:color w:val="000000"/>
        </w:rPr>
        <w:t>Cymbopogon</w:t>
      </w:r>
      <w:proofErr w:type="spellEnd"/>
      <w:r w:rsidRPr="009A1789">
        <w:rPr>
          <w:color w:val="000000"/>
        </w:rPr>
        <w:t xml:space="preserve"> martini </w:t>
      </w:r>
      <w:proofErr w:type="spellStart"/>
      <w:r w:rsidRPr="009A1789">
        <w:rPr>
          <w:color w:val="000000"/>
        </w:rPr>
        <w:t>essential</w:t>
      </w:r>
      <w:proofErr w:type="spellEnd"/>
      <w:r w:rsidRPr="009A1789">
        <w:rPr>
          <w:color w:val="000000"/>
        </w:rPr>
        <w:t xml:space="preserve"> </w:t>
      </w:r>
      <w:proofErr w:type="spellStart"/>
      <w:r w:rsidRPr="009A1789">
        <w:rPr>
          <w:color w:val="000000"/>
        </w:rPr>
        <w:t>oil</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geraniol</w:t>
      </w:r>
      <w:proofErr w:type="spellEnd"/>
      <w:r w:rsidRPr="009A1789">
        <w:rPr>
          <w:color w:val="000000"/>
        </w:rPr>
        <w:t xml:space="preserve">. </w:t>
      </w:r>
      <w:proofErr w:type="spellStart"/>
      <w:r w:rsidRPr="009A1789">
        <w:rPr>
          <w:color w:val="000000"/>
        </w:rPr>
        <w:t>Industrial</w:t>
      </w:r>
      <w:proofErr w:type="spellEnd"/>
      <w:r w:rsidRPr="009A1789">
        <w:rPr>
          <w:color w:val="000000"/>
        </w:rPr>
        <w:t xml:space="preserve"> </w:t>
      </w:r>
      <w:proofErr w:type="spellStart"/>
      <w:r w:rsidRPr="009A1789">
        <w:rPr>
          <w:color w:val="000000"/>
        </w:rPr>
        <w:t>Crops</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Products</w:t>
      </w:r>
      <w:proofErr w:type="spellEnd"/>
      <w:r w:rsidRPr="009A1789">
        <w:rPr>
          <w:color w:val="000000"/>
        </w:rPr>
        <w:t xml:space="preserve">. </w:t>
      </w:r>
      <w:proofErr w:type="gramStart"/>
      <w:r w:rsidRPr="009A1789">
        <w:rPr>
          <w:color w:val="000000"/>
        </w:rPr>
        <w:t>2026;239:122479</w:t>
      </w:r>
      <w:proofErr w:type="gramEnd"/>
      <w:r w:rsidRPr="009A1789">
        <w:rPr>
          <w:color w:val="000000"/>
        </w:rPr>
        <w:t>.</w:t>
      </w:r>
    </w:p>
    <w:p w14:paraId="4C00095A"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Cebollada</w:t>
      </w:r>
      <w:proofErr w:type="spellEnd"/>
      <w:r w:rsidRPr="009A1789">
        <w:rPr>
          <w:color w:val="000000"/>
        </w:rPr>
        <w:t xml:space="preserve"> P, </w:t>
      </w:r>
      <w:proofErr w:type="spellStart"/>
      <w:r w:rsidRPr="009A1789">
        <w:rPr>
          <w:color w:val="000000"/>
        </w:rPr>
        <w:t>Alvarado</w:t>
      </w:r>
      <w:proofErr w:type="spellEnd"/>
      <w:r w:rsidRPr="009A1789">
        <w:rPr>
          <w:color w:val="000000"/>
        </w:rPr>
        <w:t xml:space="preserve"> E, </w:t>
      </w:r>
      <w:proofErr w:type="spellStart"/>
      <w:r w:rsidRPr="009A1789">
        <w:rPr>
          <w:color w:val="000000"/>
        </w:rPr>
        <w:t>Seral</w:t>
      </w:r>
      <w:proofErr w:type="spellEnd"/>
      <w:r w:rsidRPr="009A1789">
        <w:rPr>
          <w:color w:val="000000"/>
        </w:rPr>
        <w:t xml:space="preserve"> C, </w:t>
      </w:r>
      <w:proofErr w:type="spellStart"/>
      <w:r w:rsidRPr="009A1789">
        <w:rPr>
          <w:color w:val="000000"/>
        </w:rPr>
        <w:t>López</w:t>
      </w:r>
      <w:proofErr w:type="spellEnd"/>
      <w:r w:rsidRPr="009A1789">
        <w:rPr>
          <w:color w:val="000000"/>
        </w:rPr>
        <w:t xml:space="preserve"> V. </w:t>
      </w:r>
      <w:proofErr w:type="spellStart"/>
      <w:r w:rsidRPr="009A1789">
        <w:rPr>
          <w:color w:val="000000"/>
        </w:rPr>
        <w:t>Antibacterial</w:t>
      </w:r>
      <w:proofErr w:type="spellEnd"/>
      <w:r w:rsidRPr="009A1789">
        <w:rPr>
          <w:color w:val="000000"/>
        </w:rPr>
        <w:t xml:space="preserve"> </w:t>
      </w:r>
      <w:proofErr w:type="spellStart"/>
      <w:r w:rsidRPr="009A1789">
        <w:rPr>
          <w:color w:val="000000"/>
        </w:rPr>
        <w:t>activity</w:t>
      </w:r>
      <w:proofErr w:type="spellEnd"/>
      <w:r w:rsidRPr="009A1789">
        <w:rPr>
          <w:color w:val="000000"/>
        </w:rPr>
        <w:t xml:space="preserve"> of </w:t>
      </w:r>
      <w:proofErr w:type="spellStart"/>
      <w:r w:rsidRPr="009A1789">
        <w:rPr>
          <w:color w:val="000000"/>
        </w:rPr>
        <w:t>palmarosa</w:t>
      </w:r>
      <w:proofErr w:type="spellEnd"/>
      <w:r w:rsidRPr="009A1789">
        <w:rPr>
          <w:color w:val="000000"/>
        </w:rPr>
        <w:t xml:space="preserve"> </w:t>
      </w:r>
      <w:proofErr w:type="spellStart"/>
      <w:r w:rsidRPr="009A1789">
        <w:rPr>
          <w:color w:val="000000"/>
        </w:rPr>
        <w:t>essential</w:t>
      </w:r>
      <w:proofErr w:type="spellEnd"/>
      <w:r w:rsidRPr="009A1789">
        <w:rPr>
          <w:color w:val="000000"/>
        </w:rPr>
        <w:t xml:space="preserve"> </w:t>
      </w:r>
      <w:proofErr w:type="spellStart"/>
      <w:r w:rsidRPr="009A1789">
        <w:rPr>
          <w:color w:val="000000"/>
        </w:rPr>
        <w:t>oil</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geraniol</w:t>
      </w:r>
      <w:proofErr w:type="spellEnd"/>
      <w:r w:rsidRPr="009A1789">
        <w:rPr>
          <w:color w:val="000000"/>
        </w:rPr>
        <w:t xml:space="preserve">. </w:t>
      </w:r>
      <w:proofErr w:type="spellStart"/>
      <w:r w:rsidRPr="009A1789">
        <w:rPr>
          <w:color w:val="000000"/>
        </w:rPr>
        <w:t>Pharmaceutics</w:t>
      </w:r>
      <w:proofErr w:type="spellEnd"/>
      <w:r w:rsidRPr="009A1789">
        <w:rPr>
          <w:color w:val="000000"/>
        </w:rPr>
        <w:t>. 2025;18(1):39.</w:t>
      </w:r>
    </w:p>
    <w:p w14:paraId="3873A61A" w14:textId="348C40F0" w:rsidR="009A1789" w:rsidRDefault="009A1789" w:rsidP="009C516A">
      <w:pPr>
        <w:pStyle w:val="NormalWeb"/>
        <w:spacing w:before="120" w:after="120" w:line="276" w:lineRule="auto"/>
        <w:ind w:left="709" w:hanging="709"/>
        <w:jc w:val="both"/>
        <w:rPr>
          <w:color w:val="000000"/>
        </w:rPr>
      </w:pPr>
      <w:proofErr w:type="spellStart"/>
      <w:r w:rsidRPr="009A1789">
        <w:rPr>
          <w:color w:val="000000"/>
        </w:rPr>
        <w:lastRenderedPageBreak/>
        <w:t>Chauhan</w:t>
      </w:r>
      <w:proofErr w:type="spellEnd"/>
      <w:r w:rsidRPr="009A1789">
        <w:rPr>
          <w:color w:val="000000"/>
        </w:rPr>
        <w:t xml:space="preserve"> A, </w:t>
      </w:r>
      <w:proofErr w:type="spellStart"/>
      <w:r w:rsidRPr="009A1789">
        <w:rPr>
          <w:color w:val="000000"/>
        </w:rPr>
        <w:t>Jain</w:t>
      </w:r>
      <w:proofErr w:type="spellEnd"/>
      <w:r w:rsidRPr="009A1789">
        <w:rPr>
          <w:color w:val="000000"/>
        </w:rPr>
        <w:t xml:space="preserve"> P, </w:t>
      </w:r>
      <w:proofErr w:type="spellStart"/>
      <w:r w:rsidRPr="009A1789">
        <w:rPr>
          <w:color w:val="000000"/>
        </w:rPr>
        <w:t>Kaur</w:t>
      </w:r>
      <w:proofErr w:type="spellEnd"/>
      <w:r w:rsidRPr="009A1789">
        <w:rPr>
          <w:color w:val="000000"/>
        </w:rPr>
        <w:t xml:space="preserve"> I, et al. </w:t>
      </w:r>
      <w:proofErr w:type="spellStart"/>
      <w:r w:rsidRPr="009A1789">
        <w:rPr>
          <w:color w:val="000000"/>
        </w:rPr>
        <w:t>Nanoemulsions</w:t>
      </w:r>
      <w:proofErr w:type="spellEnd"/>
      <w:r w:rsidRPr="009A1789">
        <w:rPr>
          <w:color w:val="000000"/>
        </w:rPr>
        <w:t xml:space="preserve"> </w:t>
      </w:r>
      <w:proofErr w:type="spellStart"/>
      <w:r w:rsidRPr="009A1789">
        <w:rPr>
          <w:color w:val="000000"/>
        </w:rPr>
        <w:t>from</w:t>
      </w:r>
      <w:proofErr w:type="spellEnd"/>
      <w:r w:rsidRPr="009A1789">
        <w:rPr>
          <w:color w:val="000000"/>
        </w:rPr>
        <w:t xml:space="preserve"> </w:t>
      </w:r>
      <w:proofErr w:type="spellStart"/>
      <w:r w:rsidRPr="009A1789">
        <w:rPr>
          <w:color w:val="000000"/>
        </w:rPr>
        <w:t>palmarosa</w:t>
      </w:r>
      <w:proofErr w:type="spellEnd"/>
      <w:r w:rsidRPr="009A1789">
        <w:rPr>
          <w:color w:val="000000"/>
        </w:rPr>
        <w:t xml:space="preserve"> </w:t>
      </w:r>
      <w:proofErr w:type="spellStart"/>
      <w:r w:rsidRPr="009A1789">
        <w:rPr>
          <w:color w:val="000000"/>
        </w:rPr>
        <w:t>essential</w:t>
      </w:r>
      <w:proofErr w:type="spellEnd"/>
      <w:r w:rsidRPr="009A1789">
        <w:rPr>
          <w:color w:val="000000"/>
        </w:rPr>
        <w:t xml:space="preserve"> </w:t>
      </w:r>
      <w:proofErr w:type="spellStart"/>
      <w:r w:rsidRPr="009A1789">
        <w:rPr>
          <w:color w:val="000000"/>
        </w:rPr>
        <w:t>oil</w:t>
      </w:r>
      <w:proofErr w:type="spellEnd"/>
      <w:r w:rsidRPr="009A1789">
        <w:rPr>
          <w:color w:val="000000"/>
        </w:rPr>
        <w:t xml:space="preserve">. </w:t>
      </w:r>
      <w:proofErr w:type="spellStart"/>
      <w:r w:rsidRPr="009A1789">
        <w:rPr>
          <w:color w:val="000000"/>
        </w:rPr>
        <w:t>Journal</w:t>
      </w:r>
      <w:proofErr w:type="spellEnd"/>
      <w:r w:rsidRPr="009A1789">
        <w:rPr>
          <w:color w:val="000000"/>
        </w:rPr>
        <w:t xml:space="preserve"> of</w:t>
      </w:r>
      <w:r>
        <w:rPr>
          <w:color w:val="000000"/>
        </w:rPr>
        <w:t xml:space="preserve"> </w:t>
      </w:r>
      <w:proofErr w:type="spellStart"/>
      <w:r w:rsidRPr="009A1789">
        <w:rPr>
          <w:color w:val="000000"/>
        </w:rPr>
        <w:t>Dispersion</w:t>
      </w:r>
      <w:proofErr w:type="spellEnd"/>
      <w:r w:rsidRPr="009A1789">
        <w:rPr>
          <w:color w:val="000000"/>
        </w:rPr>
        <w:t xml:space="preserve"> </w:t>
      </w:r>
      <w:proofErr w:type="spellStart"/>
      <w:r w:rsidRPr="009A1789">
        <w:rPr>
          <w:color w:val="000000"/>
        </w:rPr>
        <w:t>Science</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Technology</w:t>
      </w:r>
      <w:proofErr w:type="spellEnd"/>
      <w:r w:rsidRPr="009A1789">
        <w:rPr>
          <w:color w:val="000000"/>
        </w:rPr>
        <w:t>. 2025;46(7):1139–1156.</w:t>
      </w:r>
    </w:p>
    <w:p w14:paraId="03A40531" w14:textId="167A0222" w:rsidR="00BA4560" w:rsidRPr="009A1789" w:rsidRDefault="00BA4560" w:rsidP="009C516A">
      <w:pPr>
        <w:pStyle w:val="NormalWeb"/>
        <w:spacing w:before="120" w:after="120" w:line="276" w:lineRule="auto"/>
        <w:ind w:left="709" w:hanging="709"/>
        <w:jc w:val="both"/>
        <w:rPr>
          <w:color w:val="000000"/>
        </w:rPr>
      </w:pPr>
      <w:proofErr w:type="spellStart"/>
      <w:r>
        <w:rPr>
          <w:color w:val="000000"/>
        </w:rPr>
        <w:t>Cho</w:t>
      </w:r>
      <w:proofErr w:type="spellEnd"/>
      <w:r>
        <w:rPr>
          <w:color w:val="000000"/>
        </w:rPr>
        <w:t xml:space="preserve"> M, </w:t>
      </w:r>
      <w:proofErr w:type="spellStart"/>
      <w:r>
        <w:rPr>
          <w:color w:val="000000"/>
        </w:rPr>
        <w:t>So</w:t>
      </w:r>
      <w:proofErr w:type="spellEnd"/>
      <w:r>
        <w:rPr>
          <w:color w:val="000000"/>
        </w:rPr>
        <w:t xml:space="preserve"> I, </w:t>
      </w:r>
      <w:proofErr w:type="spellStart"/>
      <w:r>
        <w:rPr>
          <w:color w:val="000000"/>
        </w:rPr>
        <w:t>Chun</w:t>
      </w:r>
      <w:proofErr w:type="spellEnd"/>
      <w:r>
        <w:rPr>
          <w:color w:val="000000"/>
        </w:rPr>
        <w:t xml:space="preserve"> JN, </w:t>
      </w:r>
      <w:proofErr w:type="spellStart"/>
      <w:r>
        <w:rPr>
          <w:color w:val="000000"/>
        </w:rPr>
        <w:t>Jeon</w:t>
      </w:r>
      <w:proofErr w:type="spellEnd"/>
      <w:r>
        <w:rPr>
          <w:color w:val="000000"/>
        </w:rPr>
        <w:t xml:space="preserve"> JH. </w:t>
      </w:r>
      <w:proofErr w:type="spellStart"/>
      <w:r>
        <w:rPr>
          <w:color w:val="000000"/>
        </w:rPr>
        <w:t>The</w:t>
      </w:r>
      <w:proofErr w:type="spellEnd"/>
      <w:r>
        <w:rPr>
          <w:color w:val="000000"/>
        </w:rPr>
        <w:t xml:space="preserve"> </w:t>
      </w:r>
      <w:proofErr w:type="spellStart"/>
      <w:r>
        <w:rPr>
          <w:color w:val="000000"/>
        </w:rPr>
        <w:t>antitumor</w:t>
      </w:r>
      <w:proofErr w:type="spellEnd"/>
      <w:r>
        <w:rPr>
          <w:color w:val="000000"/>
        </w:rPr>
        <w:t xml:space="preserve"> </w:t>
      </w:r>
      <w:proofErr w:type="spellStart"/>
      <w:r>
        <w:rPr>
          <w:color w:val="000000"/>
        </w:rPr>
        <w:t>effects</w:t>
      </w:r>
      <w:proofErr w:type="spellEnd"/>
      <w:r>
        <w:rPr>
          <w:color w:val="000000"/>
        </w:rPr>
        <w:t xml:space="preserve"> of </w:t>
      </w:r>
      <w:proofErr w:type="spellStart"/>
      <w:r>
        <w:rPr>
          <w:color w:val="000000"/>
        </w:rPr>
        <w:t>geraniol</w:t>
      </w:r>
      <w:proofErr w:type="spellEnd"/>
      <w:r>
        <w:rPr>
          <w:color w:val="000000"/>
        </w:rPr>
        <w:t xml:space="preserve">: </w:t>
      </w:r>
      <w:proofErr w:type="spellStart"/>
      <w:r>
        <w:rPr>
          <w:color w:val="000000"/>
        </w:rPr>
        <w:t>Modulation</w:t>
      </w:r>
      <w:proofErr w:type="spellEnd"/>
      <w:r>
        <w:rPr>
          <w:color w:val="000000"/>
        </w:rPr>
        <w:t xml:space="preserve"> of </w:t>
      </w:r>
      <w:proofErr w:type="spellStart"/>
      <w:r>
        <w:rPr>
          <w:color w:val="000000"/>
        </w:rPr>
        <w:t>cancer</w:t>
      </w:r>
      <w:proofErr w:type="spellEnd"/>
      <w:r>
        <w:rPr>
          <w:color w:val="000000"/>
        </w:rPr>
        <w:t xml:space="preserve"> </w:t>
      </w:r>
      <w:proofErr w:type="spellStart"/>
      <w:r>
        <w:rPr>
          <w:color w:val="000000"/>
        </w:rPr>
        <w:t>hallmark</w:t>
      </w:r>
      <w:proofErr w:type="spellEnd"/>
      <w:r>
        <w:rPr>
          <w:color w:val="000000"/>
        </w:rPr>
        <w:t xml:space="preserve"> </w:t>
      </w:r>
      <w:proofErr w:type="spellStart"/>
      <w:r>
        <w:rPr>
          <w:color w:val="000000"/>
        </w:rPr>
        <w:t>pathways</w:t>
      </w:r>
      <w:proofErr w:type="spellEnd"/>
      <w:r>
        <w:rPr>
          <w:color w:val="000000"/>
        </w:rPr>
        <w:t xml:space="preserve"> (</w:t>
      </w:r>
      <w:proofErr w:type="spellStart"/>
      <w:r>
        <w:rPr>
          <w:color w:val="000000"/>
        </w:rPr>
        <w:t>Review</w:t>
      </w:r>
      <w:proofErr w:type="spellEnd"/>
      <w:r>
        <w:rPr>
          <w:color w:val="000000"/>
        </w:rPr>
        <w:t xml:space="preserve">). </w:t>
      </w:r>
      <w:proofErr w:type="spellStart"/>
      <w:r>
        <w:rPr>
          <w:color w:val="000000"/>
        </w:rPr>
        <w:t>Int</w:t>
      </w:r>
      <w:proofErr w:type="spellEnd"/>
      <w:r>
        <w:rPr>
          <w:color w:val="000000"/>
        </w:rPr>
        <w:t xml:space="preserve"> J </w:t>
      </w:r>
      <w:proofErr w:type="spellStart"/>
      <w:r>
        <w:rPr>
          <w:color w:val="000000"/>
        </w:rPr>
        <w:t>Oncol</w:t>
      </w:r>
      <w:proofErr w:type="spellEnd"/>
      <w:r>
        <w:rPr>
          <w:color w:val="000000"/>
        </w:rPr>
        <w:t xml:space="preserve">. 2016 May;48(5):1772-82. </w:t>
      </w:r>
      <w:proofErr w:type="spellStart"/>
      <w:r>
        <w:rPr>
          <w:color w:val="000000"/>
        </w:rPr>
        <w:t>doi</w:t>
      </w:r>
      <w:proofErr w:type="spellEnd"/>
      <w:r>
        <w:rPr>
          <w:color w:val="000000"/>
        </w:rPr>
        <w:t xml:space="preserve">: 10.3892/ijo.2016.3427. </w:t>
      </w:r>
      <w:proofErr w:type="spellStart"/>
      <w:r>
        <w:rPr>
          <w:color w:val="000000"/>
        </w:rPr>
        <w:t>Epub</w:t>
      </w:r>
      <w:proofErr w:type="spellEnd"/>
      <w:r>
        <w:rPr>
          <w:color w:val="000000"/>
        </w:rPr>
        <w:t xml:space="preserve"> 2016 Mar 9. PMID: 26983575; PMCID: PMC4809657.</w:t>
      </w:r>
    </w:p>
    <w:p w14:paraId="776D2305" w14:textId="35CB2762" w:rsidR="009A1789" w:rsidRPr="009A1789" w:rsidRDefault="009A1789" w:rsidP="009C516A">
      <w:pPr>
        <w:pStyle w:val="NormalWeb"/>
        <w:spacing w:before="120" w:after="120" w:line="276" w:lineRule="auto"/>
        <w:jc w:val="both"/>
        <w:rPr>
          <w:color w:val="000000"/>
        </w:rPr>
      </w:pPr>
      <w:r w:rsidRPr="009A1789">
        <w:rPr>
          <w:color w:val="000000"/>
        </w:rPr>
        <w:t xml:space="preserve">CR. </w:t>
      </w:r>
      <w:proofErr w:type="spellStart"/>
      <w:r w:rsidRPr="009A1789">
        <w:rPr>
          <w:color w:val="000000"/>
        </w:rPr>
        <w:t>Vyhláška</w:t>
      </w:r>
      <w:proofErr w:type="spellEnd"/>
      <w:r w:rsidRPr="009A1789">
        <w:rPr>
          <w:color w:val="000000"/>
        </w:rPr>
        <w:t xml:space="preserve"> č. 58/2018 Sb. </w:t>
      </w:r>
      <w:proofErr w:type="spellStart"/>
      <w:r w:rsidRPr="009A1789">
        <w:rPr>
          <w:color w:val="000000"/>
        </w:rPr>
        <w:t>Available</w:t>
      </w:r>
      <w:proofErr w:type="spellEnd"/>
      <w:r w:rsidRPr="009A1789">
        <w:rPr>
          <w:color w:val="000000"/>
        </w:rPr>
        <w:t xml:space="preserve"> </w:t>
      </w:r>
      <w:proofErr w:type="spellStart"/>
      <w:r w:rsidRPr="009A1789">
        <w:rPr>
          <w:color w:val="000000"/>
        </w:rPr>
        <w:t>from</w:t>
      </w:r>
      <w:proofErr w:type="spellEnd"/>
      <w:r w:rsidRPr="009A1789">
        <w:rPr>
          <w:color w:val="000000"/>
        </w:rPr>
        <w:t xml:space="preserve">: </w:t>
      </w:r>
      <w:hyperlink r:id="rId11" w:history="1">
        <w:r w:rsidR="00DA12D3" w:rsidRPr="009D02F8">
          <w:rPr>
            <w:rStyle w:val="Kpr"/>
          </w:rPr>
          <w:t>https://www.zakonyprolidi.cz</w:t>
        </w:r>
      </w:hyperlink>
      <w:r w:rsidR="00DA12D3">
        <w:rPr>
          <w:color w:val="000000"/>
        </w:rPr>
        <w:t xml:space="preserve"> </w:t>
      </w:r>
      <w:r w:rsidRPr="009A1789">
        <w:rPr>
          <w:color w:val="000000"/>
        </w:rPr>
        <w:t>(</w:t>
      </w:r>
      <w:proofErr w:type="spellStart"/>
      <w:r w:rsidRPr="009A1789">
        <w:rPr>
          <w:color w:val="000000"/>
        </w:rPr>
        <w:t>Accessed</w:t>
      </w:r>
      <w:proofErr w:type="spellEnd"/>
      <w:r w:rsidRPr="009A1789">
        <w:rPr>
          <w:color w:val="000000"/>
        </w:rPr>
        <w:t xml:space="preserve">: 19 </w:t>
      </w:r>
      <w:proofErr w:type="spellStart"/>
      <w:r w:rsidRPr="009A1789">
        <w:rPr>
          <w:color w:val="000000"/>
        </w:rPr>
        <w:t>Dec</w:t>
      </w:r>
      <w:proofErr w:type="spellEnd"/>
      <w:r w:rsidRPr="009A1789">
        <w:rPr>
          <w:color w:val="000000"/>
        </w:rPr>
        <w:t xml:space="preserve"> 2024).</w:t>
      </w:r>
    </w:p>
    <w:p w14:paraId="30E579DE" w14:textId="77777777" w:rsidR="009A1789" w:rsidRPr="009A1789" w:rsidRDefault="009A1789" w:rsidP="009C516A">
      <w:pPr>
        <w:pStyle w:val="NormalWeb"/>
        <w:tabs>
          <w:tab w:val="left" w:pos="851"/>
        </w:tabs>
        <w:spacing w:before="120" w:after="120" w:line="276" w:lineRule="auto"/>
        <w:ind w:left="426" w:hanging="426"/>
        <w:jc w:val="both"/>
        <w:rPr>
          <w:color w:val="000000"/>
        </w:rPr>
      </w:pPr>
      <w:proofErr w:type="spellStart"/>
      <w:r w:rsidRPr="009A1789">
        <w:rPr>
          <w:color w:val="000000"/>
        </w:rPr>
        <w:t>Dangol</w:t>
      </w:r>
      <w:proofErr w:type="spellEnd"/>
      <w:r w:rsidRPr="009A1789">
        <w:rPr>
          <w:color w:val="000000"/>
        </w:rPr>
        <w:t xml:space="preserve"> S, </w:t>
      </w:r>
      <w:proofErr w:type="spellStart"/>
      <w:r w:rsidRPr="009A1789">
        <w:rPr>
          <w:color w:val="000000"/>
        </w:rPr>
        <w:t>Poudel</w:t>
      </w:r>
      <w:proofErr w:type="spellEnd"/>
      <w:r w:rsidRPr="009A1789">
        <w:rPr>
          <w:color w:val="000000"/>
        </w:rPr>
        <w:t xml:space="preserve"> DK, </w:t>
      </w:r>
      <w:proofErr w:type="spellStart"/>
      <w:r w:rsidRPr="009A1789">
        <w:rPr>
          <w:color w:val="000000"/>
        </w:rPr>
        <w:t>Ojha</w:t>
      </w:r>
      <w:proofErr w:type="spellEnd"/>
      <w:r w:rsidRPr="009A1789">
        <w:rPr>
          <w:color w:val="000000"/>
        </w:rPr>
        <w:t xml:space="preserve"> PK, et al. </w:t>
      </w:r>
      <w:proofErr w:type="spellStart"/>
      <w:r w:rsidRPr="009A1789">
        <w:rPr>
          <w:color w:val="000000"/>
        </w:rPr>
        <w:t>Essential</w:t>
      </w:r>
      <w:proofErr w:type="spellEnd"/>
      <w:r w:rsidRPr="009A1789">
        <w:rPr>
          <w:color w:val="000000"/>
        </w:rPr>
        <w:t xml:space="preserve"> </w:t>
      </w:r>
      <w:proofErr w:type="spellStart"/>
      <w:r w:rsidRPr="009A1789">
        <w:rPr>
          <w:color w:val="000000"/>
        </w:rPr>
        <w:t>oil</w:t>
      </w:r>
      <w:proofErr w:type="spellEnd"/>
      <w:r w:rsidRPr="009A1789">
        <w:rPr>
          <w:color w:val="000000"/>
        </w:rPr>
        <w:t xml:space="preserve"> </w:t>
      </w:r>
      <w:proofErr w:type="spellStart"/>
      <w:r w:rsidRPr="009A1789">
        <w:rPr>
          <w:color w:val="000000"/>
        </w:rPr>
        <w:t>composition</w:t>
      </w:r>
      <w:proofErr w:type="spellEnd"/>
      <w:r w:rsidRPr="009A1789">
        <w:rPr>
          <w:color w:val="000000"/>
        </w:rPr>
        <w:t xml:space="preserve"> of </w:t>
      </w:r>
      <w:proofErr w:type="spellStart"/>
      <w:r w:rsidRPr="009A1789">
        <w:rPr>
          <w:color w:val="000000"/>
        </w:rPr>
        <w:t>Cymbopogon</w:t>
      </w:r>
      <w:proofErr w:type="spellEnd"/>
      <w:r w:rsidRPr="009A1789">
        <w:rPr>
          <w:color w:val="000000"/>
        </w:rPr>
        <w:t xml:space="preserve"> </w:t>
      </w:r>
      <w:proofErr w:type="spellStart"/>
      <w:r w:rsidRPr="009A1789">
        <w:rPr>
          <w:color w:val="000000"/>
        </w:rPr>
        <w:t>species</w:t>
      </w:r>
      <w:proofErr w:type="spellEnd"/>
      <w:r w:rsidRPr="009A1789">
        <w:rPr>
          <w:color w:val="000000"/>
        </w:rPr>
        <w:t xml:space="preserve">. </w:t>
      </w:r>
      <w:proofErr w:type="spellStart"/>
      <w:r w:rsidRPr="009A1789">
        <w:rPr>
          <w:color w:val="000000"/>
        </w:rPr>
        <w:t>Molecules</w:t>
      </w:r>
      <w:proofErr w:type="spellEnd"/>
      <w:r w:rsidRPr="009A1789">
        <w:rPr>
          <w:color w:val="000000"/>
        </w:rPr>
        <w:t>. 2023;28(2):543.</w:t>
      </w:r>
    </w:p>
    <w:p w14:paraId="6E8107A5" w14:textId="1E07D207" w:rsidR="009A1789" w:rsidRPr="009A1789" w:rsidRDefault="009A1789" w:rsidP="009C516A">
      <w:pPr>
        <w:pStyle w:val="NormalWeb"/>
        <w:spacing w:before="120" w:after="120" w:line="276" w:lineRule="auto"/>
        <w:ind w:left="709" w:hanging="709"/>
        <w:jc w:val="both"/>
        <w:rPr>
          <w:color w:val="000000"/>
        </w:rPr>
      </w:pPr>
      <w:r w:rsidRPr="009A1789">
        <w:rPr>
          <w:color w:val="000000"/>
        </w:rPr>
        <w:t xml:space="preserve">De </w:t>
      </w:r>
      <w:proofErr w:type="spellStart"/>
      <w:r w:rsidRPr="009A1789">
        <w:rPr>
          <w:color w:val="000000"/>
        </w:rPr>
        <w:t>Fazio</w:t>
      </w:r>
      <w:proofErr w:type="spellEnd"/>
      <w:r w:rsidRPr="009A1789">
        <w:rPr>
          <w:color w:val="000000"/>
        </w:rPr>
        <w:t xml:space="preserve"> L, </w:t>
      </w:r>
      <w:proofErr w:type="spellStart"/>
      <w:r w:rsidRPr="009A1789">
        <w:rPr>
          <w:color w:val="000000"/>
        </w:rPr>
        <w:t>Spisni</w:t>
      </w:r>
      <w:proofErr w:type="spellEnd"/>
      <w:r w:rsidRPr="009A1789">
        <w:rPr>
          <w:color w:val="000000"/>
        </w:rPr>
        <w:t xml:space="preserve"> E, et al. </w:t>
      </w:r>
      <w:proofErr w:type="spellStart"/>
      <w:r w:rsidRPr="009A1789">
        <w:rPr>
          <w:color w:val="000000"/>
        </w:rPr>
        <w:t>Dietary</w:t>
      </w:r>
      <w:proofErr w:type="spellEnd"/>
      <w:r w:rsidRPr="009A1789">
        <w:rPr>
          <w:color w:val="000000"/>
        </w:rPr>
        <w:t xml:space="preserve"> </w:t>
      </w:r>
      <w:proofErr w:type="spellStart"/>
      <w:r w:rsidRPr="009A1789">
        <w:rPr>
          <w:color w:val="000000"/>
        </w:rPr>
        <w:t>geraniol</w:t>
      </w:r>
      <w:proofErr w:type="spellEnd"/>
      <w:r w:rsidRPr="009A1789">
        <w:rPr>
          <w:color w:val="000000"/>
        </w:rPr>
        <w:t xml:space="preserve"> </w:t>
      </w:r>
      <w:proofErr w:type="spellStart"/>
      <w:r w:rsidRPr="009A1789">
        <w:rPr>
          <w:color w:val="000000"/>
        </w:rPr>
        <w:t>reduces</w:t>
      </w:r>
      <w:proofErr w:type="spellEnd"/>
      <w:r w:rsidRPr="009A1789">
        <w:rPr>
          <w:color w:val="000000"/>
        </w:rPr>
        <w:t xml:space="preserve"> </w:t>
      </w:r>
      <w:proofErr w:type="spellStart"/>
      <w:r w:rsidRPr="009A1789">
        <w:rPr>
          <w:color w:val="000000"/>
        </w:rPr>
        <w:t>dysbiosis</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inflammation</w:t>
      </w:r>
      <w:proofErr w:type="spellEnd"/>
      <w:r w:rsidRPr="009A1789">
        <w:rPr>
          <w:color w:val="000000"/>
        </w:rPr>
        <w:t xml:space="preserve"> in </w:t>
      </w:r>
      <w:proofErr w:type="spellStart"/>
      <w:r w:rsidRPr="009A1789">
        <w:rPr>
          <w:color w:val="000000"/>
        </w:rPr>
        <w:t>mice</w:t>
      </w:r>
      <w:proofErr w:type="spellEnd"/>
      <w:r w:rsidRPr="009A1789">
        <w:rPr>
          <w:color w:val="000000"/>
        </w:rPr>
        <w:t xml:space="preserve">. </w:t>
      </w:r>
      <w:r>
        <w:rPr>
          <w:color w:val="000000"/>
        </w:rPr>
        <w:t xml:space="preserve">  </w:t>
      </w:r>
      <w:proofErr w:type="spellStart"/>
      <w:r w:rsidRPr="009A1789">
        <w:rPr>
          <w:color w:val="000000"/>
        </w:rPr>
        <w:t>Frontiers</w:t>
      </w:r>
      <w:proofErr w:type="spellEnd"/>
      <w:r w:rsidRPr="009A1789">
        <w:rPr>
          <w:color w:val="000000"/>
        </w:rPr>
        <w:t xml:space="preserve"> in </w:t>
      </w:r>
      <w:proofErr w:type="spellStart"/>
      <w:r w:rsidRPr="009A1789">
        <w:rPr>
          <w:color w:val="000000"/>
        </w:rPr>
        <w:t>Pharmacology</w:t>
      </w:r>
      <w:proofErr w:type="spellEnd"/>
      <w:r w:rsidRPr="009A1789">
        <w:rPr>
          <w:color w:val="000000"/>
        </w:rPr>
        <w:t xml:space="preserve">. </w:t>
      </w:r>
      <w:proofErr w:type="gramStart"/>
      <w:r w:rsidRPr="009A1789">
        <w:rPr>
          <w:color w:val="000000"/>
        </w:rPr>
        <w:t>2016;7:38</w:t>
      </w:r>
      <w:proofErr w:type="gramEnd"/>
      <w:r w:rsidRPr="009A1789">
        <w:rPr>
          <w:color w:val="000000"/>
        </w:rPr>
        <w:t>.</w:t>
      </w:r>
    </w:p>
    <w:p w14:paraId="670F4883" w14:textId="77777777" w:rsidR="009A1789" w:rsidRPr="009A1789" w:rsidRDefault="009A1789" w:rsidP="009C516A">
      <w:pPr>
        <w:pStyle w:val="NormalWeb"/>
        <w:spacing w:before="120" w:after="120" w:line="276" w:lineRule="auto"/>
        <w:ind w:left="709" w:hanging="709"/>
        <w:jc w:val="both"/>
        <w:rPr>
          <w:color w:val="000000"/>
        </w:rPr>
      </w:pPr>
      <w:r w:rsidRPr="009A1789">
        <w:rPr>
          <w:color w:val="000000"/>
        </w:rPr>
        <w:t xml:space="preserve">DGCCRF. </w:t>
      </w:r>
      <w:proofErr w:type="spellStart"/>
      <w:r w:rsidRPr="009A1789">
        <w:rPr>
          <w:color w:val="000000"/>
        </w:rPr>
        <w:t>Compléments</w:t>
      </w:r>
      <w:proofErr w:type="spellEnd"/>
      <w:r w:rsidRPr="009A1789">
        <w:rPr>
          <w:color w:val="000000"/>
        </w:rPr>
        <w:t xml:space="preserve"> </w:t>
      </w:r>
      <w:proofErr w:type="spellStart"/>
      <w:r w:rsidRPr="009A1789">
        <w:rPr>
          <w:color w:val="000000"/>
        </w:rPr>
        <w:t>alimentaires</w:t>
      </w:r>
      <w:proofErr w:type="spellEnd"/>
      <w:r w:rsidRPr="009A1789">
        <w:rPr>
          <w:color w:val="000000"/>
        </w:rPr>
        <w:t xml:space="preserve"> – </w:t>
      </w:r>
      <w:proofErr w:type="spellStart"/>
      <w:r w:rsidRPr="009A1789">
        <w:rPr>
          <w:color w:val="000000"/>
        </w:rPr>
        <w:t>Huiles</w:t>
      </w:r>
      <w:proofErr w:type="spellEnd"/>
      <w:r w:rsidRPr="009A1789">
        <w:rPr>
          <w:color w:val="000000"/>
        </w:rPr>
        <w:t xml:space="preserve"> </w:t>
      </w:r>
      <w:proofErr w:type="spellStart"/>
      <w:r w:rsidRPr="009A1789">
        <w:rPr>
          <w:color w:val="000000"/>
        </w:rPr>
        <w:t>essentielles</w:t>
      </w:r>
      <w:proofErr w:type="spellEnd"/>
      <w:r w:rsidRPr="009A1789">
        <w:rPr>
          <w:color w:val="000000"/>
        </w:rPr>
        <w:t xml:space="preserve">. </w:t>
      </w:r>
      <w:proofErr w:type="spellStart"/>
      <w:r w:rsidRPr="009A1789">
        <w:rPr>
          <w:color w:val="000000"/>
        </w:rPr>
        <w:t>Available</w:t>
      </w:r>
      <w:proofErr w:type="spellEnd"/>
      <w:r w:rsidRPr="009A1789">
        <w:rPr>
          <w:color w:val="000000"/>
        </w:rPr>
        <w:t xml:space="preserve"> </w:t>
      </w:r>
      <w:proofErr w:type="spellStart"/>
      <w:r w:rsidRPr="009A1789">
        <w:rPr>
          <w:color w:val="000000"/>
        </w:rPr>
        <w:t>from</w:t>
      </w:r>
      <w:proofErr w:type="spellEnd"/>
      <w:r w:rsidRPr="009A1789">
        <w:rPr>
          <w:color w:val="000000"/>
        </w:rPr>
        <w:t>: https://www.economie.gouv.fr</w:t>
      </w:r>
    </w:p>
    <w:p w14:paraId="505DC84B" w14:textId="77777777" w:rsidR="009A1789" w:rsidRPr="009A1789" w:rsidRDefault="009A1789" w:rsidP="009C516A">
      <w:pPr>
        <w:pStyle w:val="NormalWeb"/>
        <w:spacing w:before="120" w:after="120" w:line="276" w:lineRule="auto"/>
        <w:ind w:left="709" w:hanging="709"/>
        <w:jc w:val="both"/>
        <w:rPr>
          <w:color w:val="000000"/>
        </w:rPr>
      </w:pPr>
      <w:r w:rsidRPr="009A1789">
        <w:rPr>
          <w:color w:val="000000"/>
        </w:rPr>
        <w:t xml:space="preserve"> (</w:t>
      </w:r>
      <w:proofErr w:type="spellStart"/>
      <w:r w:rsidRPr="009A1789">
        <w:rPr>
          <w:color w:val="000000"/>
        </w:rPr>
        <w:t>Accessed</w:t>
      </w:r>
      <w:proofErr w:type="spellEnd"/>
      <w:r w:rsidRPr="009A1789">
        <w:rPr>
          <w:color w:val="000000"/>
        </w:rPr>
        <w:t xml:space="preserve">: 19 </w:t>
      </w:r>
      <w:proofErr w:type="spellStart"/>
      <w:r w:rsidRPr="009A1789">
        <w:rPr>
          <w:color w:val="000000"/>
        </w:rPr>
        <w:t>Dec</w:t>
      </w:r>
      <w:proofErr w:type="spellEnd"/>
      <w:r w:rsidRPr="009A1789">
        <w:rPr>
          <w:color w:val="000000"/>
        </w:rPr>
        <w:t xml:space="preserve"> 2024).</w:t>
      </w:r>
    </w:p>
    <w:p w14:paraId="38D9C501" w14:textId="77777777" w:rsidR="009A1789" w:rsidRPr="009A1789" w:rsidRDefault="009A1789" w:rsidP="009C516A">
      <w:pPr>
        <w:pStyle w:val="NormalWeb"/>
        <w:spacing w:before="120" w:after="120" w:line="276" w:lineRule="auto"/>
        <w:ind w:left="709" w:hanging="709"/>
        <w:jc w:val="both"/>
        <w:rPr>
          <w:color w:val="000000"/>
        </w:rPr>
      </w:pPr>
      <w:r w:rsidRPr="009A1789">
        <w:rPr>
          <w:color w:val="000000"/>
        </w:rPr>
        <w:t xml:space="preserve">DGCCRF. Liste </w:t>
      </w:r>
      <w:proofErr w:type="spellStart"/>
      <w:r w:rsidRPr="009A1789">
        <w:rPr>
          <w:color w:val="000000"/>
        </w:rPr>
        <w:t>des</w:t>
      </w:r>
      <w:proofErr w:type="spellEnd"/>
      <w:r w:rsidRPr="009A1789">
        <w:rPr>
          <w:color w:val="000000"/>
        </w:rPr>
        <w:t xml:space="preserve"> </w:t>
      </w:r>
      <w:proofErr w:type="spellStart"/>
      <w:r w:rsidRPr="009A1789">
        <w:rPr>
          <w:color w:val="000000"/>
        </w:rPr>
        <w:t>plantes</w:t>
      </w:r>
      <w:proofErr w:type="spellEnd"/>
      <w:r w:rsidRPr="009A1789">
        <w:rPr>
          <w:color w:val="000000"/>
        </w:rPr>
        <w:t xml:space="preserve"> </w:t>
      </w:r>
      <w:proofErr w:type="spellStart"/>
      <w:r w:rsidRPr="009A1789">
        <w:rPr>
          <w:color w:val="000000"/>
        </w:rPr>
        <w:t>pouvant</w:t>
      </w:r>
      <w:proofErr w:type="spellEnd"/>
      <w:r w:rsidRPr="009A1789">
        <w:rPr>
          <w:color w:val="000000"/>
        </w:rPr>
        <w:t xml:space="preserve"> </w:t>
      </w:r>
      <w:proofErr w:type="spellStart"/>
      <w:r w:rsidRPr="009A1789">
        <w:rPr>
          <w:color w:val="000000"/>
        </w:rPr>
        <w:t>être</w:t>
      </w:r>
      <w:proofErr w:type="spellEnd"/>
      <w:r w:rsidRPr="009A1789">
        <w:rPr>
          <w:color w:val="000000"/>
        </w:rPr>
        <w:t xml:space="preserve"> </w:t>
      </w:r>
      <w:proofErr w:type="spellStart"/>
      <w:r w:rsidRPr="009A1789">
        <w:rPr>
          <w:color w:val="000000"/>
        </w:rPr>
        <w:t>employées</w:t>
      </w:r>
      <w:proofErr w:type="spellEnd"/>
      <w:r w:rsidRPr="009A1789">
        <w:rPr>
          <w:color w:val="000000"/>
        </w:rPr>
        <w:t xml:space="preserve"> dans </w:t>
      </w:r>
      <w:proofErr w:type="spellStart"/>
      <w:r w:rsidRPr="009A1789">
        <w:rPr>
          <w:color w:val="000000"/>
        </w:rPr>
        <w:t>les</w:t>
      </w:r>
      <w:proofErr w:type="spellEnd"/>
      <w:r w:rsidRPr="009A1789">
        <w:rPr>
          <w:color w:val="000000"/>
        </w:rPr>
        <w:t xml:space="preserve"> </w:t>
      </w:r>
      <w:proofErr w:type="spellStart"/>
      <w:r w:rsidRPr="009A1789">
        <w:rPr>
          <w:color w:val="000000"/>
        </w:rPr>
        <w:t>compléments</w:t>
      </w:r>
      <w:proofErr w:type="spellEnd"/>
      <w:r w:rsidRPr="009A1789">
        <w:rPr>
          <w:color w:val="000000"/>
        </w:rPr>
        <w:t xml:space="preserve"> </w:t>
      </w:r>
      <w:proofErr w:type="spellStart"/>
      <w:r w:rsidRPr="009A1789">
        <w:rPr>
          <w:color w:val="000000"/>
        </w:rPr>
        <w:t>alimentaires</w:t>
      </w:r>
      <w:proofErr w:type="spellEnd"/>
      <w:r w:rsidRPr="009A1789">
        <w:rPr>
          <w:color w:val="000000"/>
        </w:rPr>
        <w:t xml:space="preserve">. </w:t>
      </w:r>
      <w:proofErr w:type="spellStart"/>
      <w:r w:rsidRPr="009A1789">
        <w:rPr>
          <w:color w:val="000000"/>
        </w:rPr>
        <w:t>Available</w:t>
      </w:r>
      <w:proofErr w:type="spellEnd"/>
      <w:r w:rsidRPr="009A1789">
        <w:rPr>
          <w:color w:val="000000"/>
        </w:rPr>
        <w:t xml:space="preserve"> </w:t>
      </w:r>
      <w:proofErr w:type="spellStart"/>
      <w:r w:rsidRPr="009A1789">
        <w:rPr>
          <w:color w:val="000000"/>
        </w:rPr>
        <w:t>from</w:t>
      </w:r>
      <w:proofErr w:type="spellEnd"/>
      <w:r w:rsidRPr="009A1789">
        <w:rPr>
          <w:color w:val="000000"/>
        </w:rPr>
        <w:t>: https://www.economie.gouv.fr</w:t>
      </w:r>
    </w:p>
    <w:p w14:paraId="15679673" w14:textId="77777777" w:rsidR="009A1789" w:rsidRPr="009A1789" w:rsidRDefault="009A1789" w:rsidP="009C516A">
      <w:pPr>
        <w:pStyle w:val="NormalWeb"/>
        <w:spacing w:before="120" w:after="120" w:line="276" w:lineRule="auto"/>
        <w:ind w:left="709" w:hanging="709"/>
        <w:jc w:val="both"/>
        <w:rPr>
          <w:color w:val="000000"/>
        </w:rPr>
      </w:pPr>
      <w:r w:rsidRPr="009A1789">
        <w:rPr>
          <w:color w:val="000000"/>
        </w:rPr>
        <w:t xml:space="preserve"> (</w:t>
      </w:r>
      <w:proofErr w:type="spellStart"/>
      <w:r w:rsidRPr="009A1789">
        <w:rPr>
          <w:color w:val="000000"/>
        </w:rPr>
        <w:t>Accessed</w:t>
      </w:r>
      <w:proofErr w:type="spellEnd"/>
      <w:r w:rsidRPr="009A1789">
        <w:rPr>
          <w:color w:val="000000"/>
        </w:rPr>
        <w:t xml:space="preserve">: 19 </w:t>
      </w:r>
      <w:proofErr w:type="spellStart"/>
      <w:r w:rsidRPr="009A1789">
        <w:rPr>
          <w:color w:val="000000"/>
        </w:rPr>
        <w:t>Dec</w:t>
      </w:r>
      <w:proofErr w:type="spellEnd"/>
      <w:r w:rsidRPr="009A1789">
        <w:rPr>
          <w:color w:val="000000"/>
        </w:rPr>
        <w:t xml:space="preserve"> 2024).</w:t>
      </w:r>
    </w:p>
    <w:p w14:paraId="42038083" w14:textId="77777777" w:rsidR="009A1789" w:rsidRPr="009A1789" w:rsidRDefault="009A1789" w:rsidP="009C516A">
      <w:pPr>
        <w:pStyle w:val="NormalWeb"/>
        <w:spacing w:before="120" w:after="120" w:line="276" w:lineRule="auto"/>
        <w:ind w:left="709" w:hanging="709"/>
        <w:jc w:val="both"/>
        <w:rPr>
          <w:color w:val="000000"/>
        </w:rPr>
      </w:pPr>
      <w:r w:rsidRPr="009A1789">
        <w:rPr>
          <w:color w:val="000000"/>
        </w:rPr>
        <w:t xml:space="preserve">DTU. </w:t>
      </w:r>
      <w:proofErr w:type="spellStart"/>
      <w:r w:rsidRPr="009A1789">
        <w:rPr>
          <w:color w:val="000000"/>
        </w:rPr>
        <w:t>Drogelisten</w:t>
      </w:r>
      <w:proofErr w:type="spellEnd"/>
      <w:r w:rsidRPr="009A1789">
        <w:rPr>
          <w:color w:val="000000"/>
        </w:rPr>
        <w:t xml:space="preserve">: </w:t>
      </w:r>
      <w:proofErr w:type="spellStart"/>
      <w:r w:rsidRPr="009A1789">
        <w:rPr>
          <w:color w:val="000000"/>
        </w:rPr>
        <w:t>vurdering</w:t>
      </w:r>
      <w:proofErr w:type="spellEnd"/>
      <w:r w:rsidRPr="009A1789">
        <w:rPr>
          <w:color w:val="000000"/>
        </w:rPr>
        <w:t xml:space="preserve"> af </w:t>
      </w:r>
      <w:proofErr w:type="spellStart"/>
      <w:r w:rsidRPr="009A1789">
        <w:rPr>
          <w:color w:val="000000"/>
        </w:rPr>
        <w:t>planter</w:t>
      </w:r>
      <w:proofErr w:type="spellEnd"/>
      <w:r w:rsidRPr="009A1789">
        <w:rPr>
          <w:color w:val="000000"/>
        </w:rPr>
        <w:t xml:space="preserve"> </w:t>
      </w:r>
      <w:proofErr w:type="spellStart"/>
      <w:r w:rsidRPr="009A1789">
        <w:rPr>
          <w:color w:val="000000"/>
        </w:rPr>
        <w:t>anvendt</w:t>
      </w:r>
      <w:proofErr w:type="spellEnd"/>
      <w:r w:rsidRPr="009A1789">
        <w:rPr>
          <w:color w:val="000000"/>
        </w:rPr>
        <w:t xml:space="preserve"> i </w:t>
      </w:r>
      <w:proofErr w:type="spellStart"/>
      <w:r w:rsidRPr="009A1789">
        <w:rPr>
          <w:color w:val="000000"/>
        </w:rPr>
        <w:t>kosttilskud</w:t>
      </w:r>
      <w:proofErr w:type="spellEnd"/>
      <w:r w:rsidRPr="009A1789">
        <w:rPr>
          <w:color w:val="000000"/>
        </w:rPr>
        <w:t xml:space="preserve">. 2011. </w:t>
      </w:r>
      <w:proofErr w:type="spellStart"/>
      <w:r w:rsidRPr="009A1789">
        <w:rPr>
          <w:color w:val="000000"/>
        </w:rPr>
        <w:t>Available</w:t>
      </w:r>
      <w:proofErr w:type="spellEnd"/>
      <w:r w:rsidRPr="009A1789">
        <w:rPr>
          <w:color w:val="000000"/>
        </w:rPr>
        <w:t xml:space="preserve"> </w:t>
      </w:r>
      <w:proofErr w:type="spellStart"/>
      <w:r w:rsidRPr="009A1789">
        <w:rPr>
          <w:color w:val="000000"/>
        </w:rPr>
        <w:t>from</w:t>
      </w:r>
      <w:proofErr w:type="spellEnd"/>
      <w:r w:rsidRPr="009A1789">
        <w:rPr>
          <w:color w:val="000000"/>
        </w:rPr>
        <w:t>: https://orbit.dtu.dk</w:t>
      </w:r>
    </w:p>
    <w:p w14:paraId="1B65E70D" w14:textId="77777777" w:rsidR="009A1789" w:rsidRPr="009A1789" w:rsidRDefault="009A1789" w:rsidP="009C516A">
      <w:pPr>
        <w:pStyle w:val="NormalWeb"/>
        <w:spacing w:before="120" w:after="120" w:line="276" w:lineRule="auto"/>
        <w:ind w:left="709" w:hanging="709"/>
        <w:jc w:val="both"/>
        <w:rPr>
          <w:color w:val="000000"/>
        </w:rPr>
      </w:pPr>
      <w:r w:rsidRPr="009A1789">
        <w:rPr>
          <w:color w:val="000000"/>
        </w:rPr>
        <w:t xml:space="preserve">EFSA Panel on </w:t>
      </w:r>
      <w:proofErr w:type="spellStart"/>
      <w:r w:rsidRPr="009A1789">
        <w:rPr>
          <w:color w:val="000000"/>
        </w:rPr>
        <w:t>Additives</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Products</w:t>
      </w:r>
      <w:proofErr w:type="spellEnd"/>
      <w:r w:rsidRPr="009A1789">
        <w:rPr>
          <w:color w:val="000000"/>
        </w:rPr>
        <w:t xml:space="preserve"> </w:t>
      </w:r>
      <w:proofErr w:type="spellStart"/>
      <w:r w:rsidRPr="009A1789">
        <w:rPr>
          <w:color w:val="000000"/>
        </w:rPr>
        <w:t>or</w:t>
      </w:r>
      <w:proofErr w:type="spellEnd"/>
      <w:r w:rsidRPr="009A1789">
        <w:rPr>
          <w:color w:val="000000"/>
        </w:rPr>
        <w:t xml:space="preserve"> </w:t>
      </w:r>
      <w:proofErr w:type="spellStart"/>
      <w:r w:rsidRPr="009A1789">
        <w:rPr>
          <w:color w:val="000000"/>
        </w:rPr>
        <w:t>Substances</w:t>
      </w:r>
      <w:proofErr w:type="spellEnd"/>
      <w:r w:rsidRPr="009A1789">
        <w:rPr>
          <w:color w:val="000000"/>
        </w:rPr>
        <w:t xml:space="preserve"> </w:t>
      </w:r>
      <w:proofErr w:type="spellStart"/>
      <w:r w:rsidRPr="009A1789">
        <w:rPr>
          <w:color w:val="000000"/>
        </w:rPr>
        <w:t>used</w:t>
      </w:r>
      <w:proofErr w:type="spellEnd"/>
      <w:r w:rsidRPr="009A1789">
        <w:rPr>
          <w:color w:val="000000"/>
        </w:rPr>
        <w:t xml:space="preserve"> in </w:t>
      </w:r>
      <w:proofErr w:type="spellStart"/>
      <w:r w:rsidRPr="009A1789">
        <w:rPr>
          <w:color w:val="000000"/>
        </w:rPr>
        <w:t>Animal</w:t>
      </w:r>
      <w:proofErr w:type="spellEnd"/>
      <w:r w:rsidRPr="009A1789">
        <w:rPr>
          <w:color w:val="000000"/>
        </w:rPr>
        <w:t xml:space="preserve"> </w:t>
      </w:r>
      <w:proofErr w:type="spellStart"/>
      <w:r w:rsidRPr="009A1789">
        <w:rPr>
          <w:color w:val="000000"/>
        </w:rPr>
        <w:t>Feed</w:t>
      </w:r>
      <w:proofErr w:type="spellEnd"/>
      <w:r w:rsidRPr="009A1789">
        <w:rPr>
          <w:color w:val="000000"/>
        </w:rPr>
        <w:t xml:space="preserve"> (FEEDAP). </w:t>
      </w:r>
      <w:proofErr w:type="spellStart"/>
      <w:r w:rsidRPr="009A1789">
        <w:rPr>
          <w:color w:val="000000"/>
        </w:rPr>
        <w:t>Safety</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efficacy</w:t>
      </w:r>
      <w:proofErr w:type="spellEnd"/>
      <w:r w:rsidRPr="009A1789">
        <w:rPr>
          <w:color w:val="000000"/>
        </w:rPr>
        <w:t xml:space="preserve"> of </w:t>
      </w:r>
      <w:proofErr w:type="spellStart"/>
      <w:r w:rsidRPr="009A1789">
        <w:rPr>
          <w:color w:val="000000"/>
        </w:rPr>
        <w:t>aliphatic</w:t>
      </w:r>
      <w:proofErr w:type="spellEnd"/>
      <w:r w:rsidRPr="009A1789">
        <w:rPr>
          <w:color w:val="000000"/>
        </w:rPr>
        <w:t xml:space="preserve"> </w:t>
      </w:r>
      <w:proofErr w:type="spellStart"/>
      <w:r w:rsidRPr="009A1789">
        <w:rPr>
          <w:color w:val="000000"/>
        </w:rPr>
        <w:t>primary</w:t>
      </w:r>
      <w:proofErr w:type="spellEnd"/>
      <w:r w:rsidRPr="009A1789">
        <w:rPr>
          <w:color w:val="000000"/>
        </w:rPr>
        <w:t xml:space="preserve"> </w:t>
      </w:r>
      <w:proofErr w:type="spellStart"/>
      <w:r w:rsidRPr="009A1789">
        <w:rPr>
          <w:color w:val="000000"/>
        </w:rPr>
        <w:t>alcohols</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related</w:t>
      </w:r>
      <w:proofErr w:type="spellEnd"/>
      <w:r w:rsidRPr="009A1789">
        <w:rPr>
          <w:color w:val="000000"/>
        </w:rPr>
        <w:t xml:space="preserve"> </w:t>
      </w:r>
      <w:proofErr w:type="spellStart"/>
      <w:r w:rsidRPr="009A1789">
        <w:rPr>
          <w:color w:val="000000"/>
        </w:rPr>
        <w:t>compounds</w:t>
      </w:r>
      <w:proofErr w:type="spellEnd"/>
      <w:r w:rsidRPr="009A1789">
        <w:rPr>
          <w:color w:val="000000"/>
        </w:rPr>
        <w:t xml:space="preserve">. EFSA </w:t>
      </w:r>
      <w:proofErr w:type="spellStart"/>
      <w:r w:rsidRPr="009A1789">
        <w:rPr>
          <w:color w:val="000000"/>
        </w:rPr>
        <w:t>Journal</w:t>
      </w:r>
      <w:proofErr w:type="spellEnd"/>
      <w:r w:rsidRPr="009A1789">
        <w:rPr>
          <w:color w:val="000000"/>
        </w:rPr>
        <w:t>. 2016;14(8</w:t>
      </w:r>
      <w:proofErr w:type="gramStart"/>
      <w:r w:rsidRPr="009A1789">
        <w:rPr>
          <w:color w:val="000000"/>
        </w:rPr>
        <w:t>):e</w:t>
      </w:r>
      <w:proofErr w:type="gramEnd"/>
      <w:r w:rsidRPr="009A1789">
        <w:rPr>
          <w:color w:val="000000"/>
        </w:rPr>
        <w:t>04559.</w:t>
      </w:r>
    </w:p>
    <w:p w14:paraId="2F5D9FD0"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Gacche</w:t>
      </w:r>
      <w:proofErr w:type="spellEnd"/>
      <w:r w:rsidRPr="009A1789">
        <w:rPr>
          <w:color w:val="000000"/>
        </w:rPr>
        <w:t xml:space="preserve"> RN, </w:t>
      </w:r>
      <w:proofErr w:type="spellStart"/>
      <w:r w:rsidRPr="009A1789">
        <w:rPr>
          <w:color w:val="000000"/>
        </w:rPr>
        <w:t>Shaikh</w:t>
      </w:r>
      <w:proofErr w:type="spellEnd"/>
      <w:r w:rsidRPr="009A1789">
        <w:rPr>
          <w:color w:val="000000"/>
        </w:rPr>
        <w:t xml:space="preserve"> RU, et al. </w:t>
      </w:r>
      <w:proofErr w:type="spellStart"/>
      <w:r w:rsidRPr="009A1789">
        <w:rPr>
          <w:color w:val="000000"/>
        </w:rPr>
        <w:t>Monoamine</w:t>
      </w:r>
      <w:proofErr w:type="spellEnd"/>
      <w:r w:rsidRPr="009A1789">
        <w:rPr>
          <w:color w:val="000000"/>
        </w:rPr>
        <w:t xml:space="preserve"> </w:t>
      </w:r>
      <w:proofErr w:type="spellStart"/>
      <w:r w:rsidRPr="009A1789">
        <w:rPr>
          <w:color w:val="000000"/>
        </w:rPr>
        <w:t>oxidase</w:t>
      </w:r>
      <w:proofErr w:type="spellEnd"/>
      <w:r w:rsidRPr="009A1789">
        <w:rPr>
          <w:color w:val="000000"/>
        </w:rPr>
        <w:t xml:space="preserve"> </w:t>
      </w:r>
      <w:proofErr w:type="spellStart"/>
      <w:r w:rsidRPr="009A1789">
        <w:rPr>
          <w:color w:val="000000"/>
        </w:rPr>
        <w:t>inhibition</w:t>
      </w:r>
      <w:proofErr w:type="spellEnd"/>
      <w:r w:rsidRPr="009A1789">
        <w:rPr>
          <w:color w:val="000000"/>
        </w:rPr>
        <w:t xml:space="preserve"> </w:t>
      </w:r>
      <w:proofErr w:type="spellStart"/>
      <w:r w:rsidRPr="009A1789">
        <w:rPr>
          <w:color w:val="000000"/>
        </w:rPr>
        <w:t>by</w:t>
      </w:r>
      <w:proofErr w:type="spellEnd"/>
      <w:r w:rsidRPr="009A1789">
        <w:rPr>
          <w:color w:val="000000"/>
        </w:rPr>
        <w:t xml:space="preserve"> </w:t>
      </w:r>
      <w:proofErr w:type="spellStart"/>
      <w:r w:rsidRPr="009A1789">
        <w:rPr>
          <w:color w:val="000000"/>
        </w:rPr>
        <w:t>Cymbopogon</w:t>
      </w:r>
      <w:proofErr w:type="spellEnd"/>
      <w:r w:rsidRPr="009A1789">
        <w:rPr>
          <w:color w:val="000000"/>
        </w:rPr>
        <w:t xml:space="preserve"> martini. </w:t>
      </w:r>
      <w:proofErr w:type="spellStart"/>
      <w:r w:rsidRPr="009A1789">
        <w:rPr>
          <w:color w:val="000000"/>
        </w:rPr>
        <w:t>Indian</w:t>
      </w:r>
      <w:proofErr w:type="spellEnd"/>
      <w:r w:rsidRPr="009A1789">
        <w:rPr>
          <w:color w:val="000000"/>
        </w:rPr>
        <w:t xml:space="preserve"> </w:t>
      </w:r>
      <w:proofErr w:type="spellStart"/>
      <w:r w:rsidRPr="009A1789">
        <w:rPr>
          <w:color w:val="000000"/>
        </w:rPr>
        <w:t>Journal</w:t>
      </w:r>
      <w:proofErr w:type="spellEnd"/>
      <w:r w:rsidRPr="009A1789">
        <w:rPr>
          <w:color w:val="000000"/>
        </w:rPr>
        <w:t xml:space="preserve"> of </w:t>
      </w:r>
      <w:proofErr w:type="spellStart"/>
      <w:r w:rsidRPr="009A1789">
        <w:rPr>
          <w:color w:val="000000"/>
        </w:rPr>
        <w:t>Clinical</w:t>
      </w:r>
      <w:proofErr w:type="spellEnd"/>
      <w:r w:rsidRPr="009A1789">
        <w:rPr>
          <w:color w:val="000000"/>
        </w:rPr>
        <w:t xml:space="preserve"> </w:t>
      </w:r>
      <w:proofErr w:type="spellStart"/>
      <w:r w:rsidRPr="009A1789">
        <w:rPr>
          <w:color w:val="000000"/>
        </w:rPr>
        <w:t>Biochemistry</w:t>
      </w:r>
      <w:proofErr w:type="spellEnd"/>
      <w:r w:rsidRPr="009A1789">
        <w:rPr>
          <w:color w:val="000000"/>
        </w:rPr>
        <w:t>. 2011;26(3):303–308.</w:t>
      </w:r>
    </w:p>
    <w:p w14:paraId="35C8A9FB"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Guba</w:t>
      </w:r>
      <w:proofErr w:type="spellEnd"/>
      <w:r w:rsidRPr="009A1789">
        <w:rPr>
          <w:color w:val="000000"/>
        </w:rPr>
        <w:t xml:space="preserve"> R. </w:t>
      </w:r>
      <w:proofErr w:type="spellStart"/>
      <w:r w:rsidRPr="009A1789">
        <w:rPr>
          <w:color w:val="000000"/>
        </w:rPr>
        <w:t>Toxicity</w:t>
      </w:r>
      <w:proofErr w:type="spellEnd"/>
      <w:r w:rsidRPr="009A1789">
        <w:rPr>
          <w:color w:val="000000"/>
        </w:rPr>
        <w:t xml:space="preserve"> </w:t>
      </w:r>
      <w:proofErr w:type="spellStart"/>
      <w:r w:rsidRPr="009A1789">
        <w:rPr>
          <w:color w:val="000000"/>
        </w:rPr>
        <w:t>myths</w:t>
      </w:r>
      <w:proofErr w:type="spellEnd"/>
      <w:r w:rsidRPr="009A1789">
        <w:rPr>
          <w:color w:val="000000"/>
        </w:rPr>
        <w:t xml:space="preserve">: </w:t>
      </w:r>
      <w:proofErr w:type="spellStart"/>
      <w:r w:rsidRPr="009A1789">
        <w:rPr>
          <w:color w:val="000000"/>
        </w:rPr>
        <w:t>essential</w:t>
      </w:r>
      <w:proofErr w:type="spellEnd"/>
      <w:r w:rsidRPr="009A1789">
        <w:rPr>
          <w:color w:val="000000"/>
        </w:rPr>
        <w:t xml:space="preserve"> </w:t>
      </w:r>
      <w:proofErr w:type="spellStart"/>
      <w:r w:rsidRPr="009A1789">
        <w:rPr>
          <w:color w:val="000000"/>
        </w:rPr>
        <w:t>oil</w:t>
      </w:r>
      <w:proofErr w:type="spellEnd"/>
      <w:r w:rsidRPr="009A1789">
        <w:rPr>
          <w:color w:val="000000"/>
        </w:rPr>
        <w:t xml:space="preserve"> </w:t>
      </w:r>
      <w:proofErr w:type="spellStart"/>
      <w:r w:rsidRPr="009A1789">
        <w:rPr>
          <w:color w:val="000000"/>
        </w:rPr>
        <w:t>risks</w:t>
      </w:r>
      <w:proofErr w:type="spellEnd"/>
      <w:r w:rsidRPr="009A1789">
        <w:rPr>
          <w:color w:val="000000"/>
        </w:rPr>
        <w:t xml:space="preserve">. </w:t>
      </w:r>
      <w:proofErr w:type="spellStart"/>
      <w:r w:rsidRPr="009A1789">
        <w:rPr>
          <w:color w:val="000000"/>
        </w:rPr>
        <w:t>Perfumer</w:t>
      </w:r>
      <w:proofErr w:type="spellEnd"/>
      <w:r w:rsidRPr="009A1789">
        <w:rPr>
          <w:color w:val="000000"/>
        </w:rPr>
        <w:t xml:space="preserve"> &amp; </w:t>
      </w:r>
      <w:proofErr w:type="spellStart"/>
      <w:r w:rsidRPr="009A1789">
        <w:rPr>
          <w:color w:val="000000"/>
        </w:rPr>
        <w:t>Flavorist</w:t>
      </w:r>
      <w:proofErr w:type="spellEnd"/>
      <w:r w:rsidRPr="009A1789">
        <w:rPr>
          <w:color w:val="000000"/>
        </w:rPr>
        <w:t>. 2000;25(2):10–28.</w:t>
      </w:r>
    </w:p>
    <w:p w14:paraId="7F8E1A3B" w14:textId="303BB33B" w:rsidR="000F3446" w:rsidRDefault="009A1789" w:rsidP="00BA4560">
      <w:pPr>
        <w:pStyle w:val="NormalWeb"/>
        <w:spacing w:before="120" w:after="120" w:line="276" w:lineRule="auto"/>
        <w:ind w:left="709" w:hanging="709"/>
        <w:jc w:val="both"/>
        <w:rPr>
          <w:color w:val="000000"/>
        </w:rPr>
      </w:pPr>
      <w:proofErr w:type="spellStart"/>
      <w:r w:rsidRPr="009A1789">
        <w:rPr>
          <w:color w:val="000000"/>
        </w:rPr>
        <w:t>Halcón</w:t>
      </w:r>
      <w:proofErr w:type="spellEnd"/>
      <w:r w:rsidRPr="009A1789">
        <w:rPr>
          <w:color w:val="000000"/>
        </w:rPr>
        <w:t xml:space="preserve"> LL. </w:t>
      </w:r>
      <w:proofErr w:type="spellStart"/>
      <w:r w:rsidRPr="009A1789">
        <w:rPr>
          <w:color w:val="000000"/>
        </w:rPr>
        <w:t>Aromatherapy</w:t>
      </w:r>
      <w:proofErr w:type="spellEnd"/>
      <w:r w:rsidRPr="009A1789">
        <w:rPr>
          <w:color w:val="000000"/>
        </w:rPr>
        <w:t xml:space="preserve"> in </w:t>
      </w:r>
      <w:proofErr w:type="spellStart"/>
      <w:r w:rsidRPr="009A1789">
        <w:rPr>
          <w:color w:val="000000"/>
        </w:rPr>
        <w:t>pregnancy</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childbirth</w:t>
      </w:r>
      <w:proofErr w:type="spellEnd"/>
      <w:r w:rsidRPr="009A1789">
        <w:rPr>
          <w:color w:val="000000"/>
        </w:rPr>
        <w:t>. 2013.</w:t>
      </w:r>
      <w:hyperlink r:id="rId12" w:history="1">
        <w:r w:rsidR="00BA4560" w:rsidRPr="009D2A6D">
          <w:rPr>
            <w:rStyle w:val="Kpr"/>
          </w:rPr>
          <w:t>https://www3.epa.gov/pesticides/endanger/litstatus/effects/redleg-frog/naled/appendix-i.pdf</w:t>
        </w:r>
      </w:hyperlink>
      <w:r w:rsidR="000F3446">
        <w:rPr>
          <w:color w:val="000000"/>
        </w:rPr>
        <w:t>. Erişim Tarihi: 16.04.2026</w:t>
      </w:r>
    </w:p>
    <w:p w14:paraId="7D57A8FC" w14:textId="6506B885" w:rsidR="004C27D4" w:rsidRDefault="004D5BB9" w:rsidP="00BA4560">
      <w:pPr>
        <w:pStyle w:val="NormalWeb"/>
        <w:spacing w:before="120" w:after="120" w:line="276" w:lineRule="auto"/>
        <w:ind w:left="709" w:hanging="709"/>
        <w:jc w:val="both"/>
        <w:rPr>
          <w:color w:val="000000"/>
        </w:rPr>
      </w:pPr>
      <w:hyperlink r:id="rId13" w:history="1">
        <w:r w:rsidR="004C27D4" w:rsidRPr="009D2A6D">
          <w:rPr>
            <w:rStyle w:val="Kpr"/>
          </w:rPr>
          <w:t>https://www3.epa.gov/pesticides/endanger/litstatus/effects/redleg-frog/naled/appendix-i.pdf</w:t>
        </w:r>
      </w:hyperlink>
      <w:r w:rsidR="004C27D4">
        <w:rPr>
          <w:color w:val="000000"/>
        </w:rPr>
        <w:t>, Erişim Tarihi:03.04.2026</w:t>
      </w:r>
    </w:p>
    <w:p w14:paraId="4DE1ADCB" w14:textId="70F17A87" w:rsidR="00B46380" w:rsidRPr="009A1789" w:rsidRDefault="00B46380" w:rsidP="00BA4560">
      <w:pPr>
        <w:pStyle w:val="NormalWeb"/>
        <w:spacing w:before="120" w:after="120" w:line="276" w:lineRule="auto"/>
        <w:ind w:left="709" w:hanging="709"/>
        <w:jc w:val="both"/>
        <w:rPr>
          <w:color w:val="000000"/>
        </w:rPr>
      </w:pPr>
      <w:hyperlink r:id="rId14" w:history="1">
        <w:r>
          <w:rPr>
            <w:rStyle w:val="Kpr"/>
            <w:color w:val="000000"/>
          </w:rPr>
          <w:t>https://go.drugbank.com/drugs/DB14183</w:t>
        </w:r>
      </w:hyperlink>
      <w:r>
        <w:t xml:space="preserve">, </w:t>
      </w:r>
      <w:r>
        <w:rPr>
          <w:color w:val="000000"/>
        </w:rPr>
        <w:t>Erişim Tarihi:03.04.2026</w:t>
      </w:r>
      <w:r>
        <w:rPr>
          <w:color w:val="000000"/>
        </w:rPr>
        <w:t>.</w:t>
      </w:r>
    </w:p>
    <w:p w14:paraId="709B0122"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Huang</w:t>
      </w:r>
      <w:proofErr w:type="spellEnd"/>
      <w:r w:rsidRPr="009A1789">
        <w:rPr>
          <w:color w:val="000000"/>
        </w:rPr>
        <w:t xml:space="preserve"> T, </w:t>
      </w:r>
      <w:proofErr w:type="spellStart"/>
      <w:r w:rsidRPr="009A1789">
        <w:rPr>
          <w:color w:val="000000"/>
        </w:rPr>
        <w:t>Zhang</w:t>
      </w:r>
      <w:proofErr w:type="spellEnd"/>
      <w:r w:rsidRPr="009A1789">
        <w:rPr>
          <w:color w:val="000000"/>
        </w:rPr>
        <w:t xml:space="preserve"> ZY, et al. </w:t>
      </w:r>
      <w:proofErr w:type="spellStart"/>
      <w:r w:rsidRPr="009A1789">
        <w:rPr>
          <w:color w:val="000000"/>
        </w:rPr>
        <w:t>Effects</w:t>
      </w:r>
      <w:proofErr w:type="spellEnd"/>
      <w:r w:rsidRPr="009A1789">
        <w:rPr>
          <w:color w:val="000000"/>
        </w:rPr>
        <w:t xml:space="preserve"> of </w:t>
      </w:r>
      <w:proofErr w:type="spellStart"/>
      <w:r w:rsidRPr="009A1789">
        <w:rPr>
          <w:color w:val="000000"/>
        </w:rPr>
        <w:t>Cymbopogon</w:t>
      </w:r>
      <w:proofErr w:type="spellEnd"/>
      <w:r w:rsidRPr="009A1789">
        <w:rPr>
          <w:color w:val="000000"/>
        </w:rPr>
        <w:t xml:space="preserve"> martini </w:t>
      </w:r>
      <w:proofErr w:type="spellStart"/>
      <w:r w:rsidRPr="009A1789">
        <w:rPr>
          <w:color w:val="000000"/>
        </w:rPr>
        <w:t>essential</w:t>
      </w:r>
      <w:proofErr w:type="spellEnd"/>
      <w:r w:rsidRPr="009A1789">
        <w:rPr>
          <w:color w:val="000000"/>
        </w:rPr>
        <w:t xml:space="preserve"> </w:t>
      </w:r>
      <w:proofErr w:type="spellStart"/>
      <w:r w:rsidRPr="009A1789">
        <w:rPr>
          <w:color w:val="000000"/>
        </w:rPr>
        <w:t>oil</w:t>
      </w:r>
      <w:proofErr w:type="spellEnd"/>
      <w:r w:rsidRPr="009A1789">
        <w:rPr>
          <w:color w:val="000000"/>
        </w:rPr>
        <w:t xml:space="preserve"> in </w:t>
      </w:r>
      <w:proofErr w:type="spellStart"/>
      <w:r w:rsidRPr="009A1789">
        <w:rPr>
          <w:color w:val="000000"/>
        </w:rPr>
        <w:t>pigeons</w:t>
      </w:r>
      <w:proofErr w:type="spellEnd"/>
      <w:r w:rsidRPr="009A1789">
        <w:rPr>
          <w:color w:val="000000"/>
        </w:rPr>
        <w:t xml:space="preserve">. </w:t>
      </w:r>
      <w:proofErr w:type="spellStart"/>
      <w:r w:rsidRPr="009A1789">
        <w:rPr>
          <w:color w:val="000000"/>
        </w:rPr>
        <w:t>Frontiers</w:t>
      </w:r>
      <w:proofErr w:type="spellEnd"/>
      <w:r w:rsidRPr="009A1789">
        <w:rPr>
          <w:color w:val="000000"/>
        </w:rPr>
        <w:t xml:space="preserve"> in </w:t>
      </w:r>
      <w:proofErr w:type="spellStart"/>
      <w:r w:rsidRPr="009A1789">
        <w:rPr>
          <w:color w:val="000000"/>
        </w:rPr>
        <w:t>Pharmacology</w:t>
      </w:r>
      <w:proofErr w:type="spellEnd"/>
      <w:r w:rsidRPr="009A1789">
        <w:rPr>
          <w:color w:val="000000"/>
        </w:rPr>
        <w:t xml:space="preserve">. </w:t>
      </w:r>
      <w:proofErr w:type="gramStart"/>
      <w:r w:rsidRPr="009A1789">
        <w:rPr>
          <w:color w:val="000000"/>
        </w:rPr>
        <w:t>2024;15:1380277</w:t>
      </w:r>
      <w:proofErr w:type="gramEnd"/>
      <w:r w:rsidRPr="009A1789">
        <w:rPr>
          <w:color w:val="000000"/>
        </w:rPr>
        <w:t>.</w:t>
      </w:r>
    </w:p>
    <w:p w14:paraId="05876B5E"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Jain</w:t>
      </w:r>
      <w:proofErr w:type="spellEnd"/>
      <w:r w:rsidRPr="009A1789">
        <w:rPr>
          <w:color w:val="000000"/>
        </w:rPr>
        <w:t xml:space="preserve"> N, </w:t>
      </w:r>
      <w:proofErr w:type="spellStart"/>
      <w:r w:rsidRPr="009A1789">
        <w:rPr>
          <w:color w:val="000000"/>
        </w:rPr>
        <w:t>Sharma</w:t>
      </w:r>
      <w:proofErr w:type="spellEnd"/>
      <w:r w:rsidRPr="009A1789">
        <w:rPr>
          <w:color w:val="000000"/>
        </w:rPr>
        <w:t xml:space="preserve"> M. </w:t>
      </w:r>
      <w:proofErr w:type="spellStart"/>
      <w:r w:rsidRPr="009A1789">
        <w:rPr>
          <w:color w:val="000000"/>
        </w:rPr>
        <w:t>Chemical</w:t>
      </w:r>
      <w:proofErr w:type="spellEnd"/>
      <w:r w:rsidRPr="009A1789">
        <w:rPr>
          <w:color w:val="000000"/>
        </w:rPr>
        <w:t xml:space="preserve"> </w:t>
      </w:r>
      <w:proofErr w:type="spellStart"/>
      <w:r w:rsidRPr="009A1789">
        <w:rPr>
          <w:color w:val="000000"/>
        </w:rPr>
        <w:t>composition</w:t>
      </w:r>
      <w:proofErr w:type="spellEnd"/>
      <w:r w:rsidRPr="009A1789">
        <w:rPr>
          <w:color w:val="000000"/>
        </w:rPr>
        <w:t xml:space="preserve"> of </w:t>
      </w:r>
      <w:proofErr w:type="spellStart"/>
      <w:r w:rsidRPr="009A1789">
        <w:rPr>
          <w:color w:val="000000"/>
        </w:rPr>
        <w:t>Cymbopogon</w:t>
      </w:r>
      <w:proofErr w:type="spellEnd"/>
      <w:r w:rsidRPr="009A1789">
        <w:rPr>
          <w:color w:val="000000"/>
        </w:rPr>
        <w:t xml:space="preserve"> </w:t>
      </w:r>
      <w:proofErr w:type="spellStart"/>
      <w:r w:rsidRPr="009A1789">
        <w:rPr>
          <w:color w:val="000000"/>
        </w:rPr>
        <w:t>martinii</w:t>
      </w:r>
      <w:proofErr w:type="spellEnd"/>
      <w:r w:rsidRPr="009A1789">
        <w:rPr>
          <w:color w:val="000000"/>
        </w:rPr>
        <w:t xml:space="preserve">. </w:t>
      </w:r>
      <w:proofErr w:type="spellStart"/>
      <w:r w:rsidRPr="009A1789">
        <w:rPr>
          <w:color w:val="000000"/>
        </w:rPr>
        <w:t>Journal</w:t>
      </w:r>
      <w:proofErr w:type="spellEnd"/>
      <w:r w:rsidRPr="009A1789">
        <w:rPr>
          <w:color w:val="000000"/>
        </w:rPr>
        <w:t xml:space="preserve"> of </w:t>
      </w:r>
      <w:proofErr w:type="spellStart"/>
      <w:r w:rsidRPr="009A1789">
        <w:rPr>
          <w:color w:val="000000"/>
        </w:rPr>
        <w:t>Essential</w:t>
      </w:r>
      <w:proofErr w:type="spellEnd"/>
      <w:r w:rsidRPr="009A1789">
        <w:rPr>
          <w:color w:val="000000"/>
        </w:rPr>
        <w:t xml:space="preserve"> </w:t>
      </w:r>
      <w:proofErr w:type="spellStart"/>
      <w:r w:rsidRPr="009A1789">
        <w:rPr>
          <w:color w:val="000000"/>
        </w:rPr>
        <w:t>Oil</w:t>
      </w:r>
      <w:proofErr w:type="spellEnd"/>
      <w:r w:rsidRPr="009A1789">
        <w:rPr>
          <w:color w:val="000000"/>
        </w:rPr>
        <w:t xml:space="preserve"> </w:t>
      </w:r>
      <w:proofErr w:type="spellStart"/>
      <w:r w:rsidRPr="009A1789">
        <w:rPr>
          <w:color w:val="000000"/>
        </w:rPr>
        <w:t>Bearing</w:t>
      </w:r>
      <w:proofErr w:type="spellEnd"/>
      <w:r w:rsidRPr="009A1789">
        <w:rPr>
          <w:color w:val="000000"/>
        </w:rPr>
        <w:t xml:space="preserve"> </w:t>
      </w:r>
      <w:proofErr w:type="spellStart"/>
      <w:r w:rsidRPr="009A1789">
        <w:rPr>
          <w:color w:val="000000"/>
        </w:rPr>
        <w:t>Plants</w:t>
      </w:r>
      <w:proofErr w:type="spellEnd"/>
      <w:r w:rsidRPr="009A1789">
        <w:rPr>
          <w:color w:val="000000"/>
        </w:rPr>
        <w:t>. 2017;20(3):801–808.</w:t>
      </w:r>
    </w:p>
    <w:p w14:paraId="372EABEC"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Jha</w:t>
      </w:r>
      <w:proofErr w:type="spellEnd"/>
      <w:r w:rsidRPr="009A1789">
        <w:rPr>
          <w:color w:val="000000"/>
        </w:rPr>
        <w:t xml:space="preserve"> V, </w:t>
      </w:r>
      <w:proofErr w:type="spellStart"/>
      <w:r w:rsidRPr="009A1789">
        <w:rPr>
          <w:color w:val="000000"/>
        </w:rPr>
        <w:t>Gharat</w:t>
      </w:r>
      <w:proofErr w:type="spellEnd"/>
      <w:r w:rsidRPr="009A1789">
        <w:rPr>
          <w:color w:val="000000"/>
        </w:rPr>
        <w:t xml:space="preserve"> K, et al. GC-MS </w:t>
      </w:r>
      <w:proofErr w:type="spellStart"/>
      <w:r w:rsidRPr="009A1789">
        <w:rPr>
          <w:color w:val="000000"/>
        </w:rPr>
        <w:t>analysis</w:t>
      </w:r>
      <w:proofErr w:type="spellEnd"/>
      <w:r w:rsidRPr="009A1789">
        <w:rPr>
          <w:color w:val="000000"/>
        </w:rPr>
        <w:t xml:space="preserve"> of </w:t>
      </w:r>
      <w:proofErr w:type="spellStart"/>
      <w:r w:rsidRPr="009A1789">
        <w:rPr>
          <w:color w:val="000000"/>
        </w:rPr>
        <w:t>Cymbopogon</w:t>
      </w:r>
      <w:proofErr w:type="spellEnd"/>
      <w:r w:rsidRPr="009A1789">
        <w:rPr>
          <w:color w:val="000000"/>
        </w:rPr>
        <w:t xml:space="preserve"> </w:t>
      </w:r>
      <w:proofErr w:type="spellStart"/>
      <w:r w:rsidRPr="009A1789">
        <w:rPr>
          <w:color w:val="000000"/>
        </w:rPr>
        <w:t>martinii</w:t>
      </w:r>
      <w:proofErr w:type="spellEnd"/>
      <w:r w:rsidRPr="009A1789">
        <w:rPr>
          <w:color w:val="000000"/>
        </w:rPr>
        <w:t xml:space="preserve">. Advanced </w:t>
      </w:r>
      <w:proofErr w:type="spellStart"/>
      <w:r w:rsidRPr="009A1789">
        <w:rPr>
          <w:color w:val="000000"/>
        </w:rPr>
        <w:t>Research</w:t>
      </w:r>
      <w:proofErr w:type="spellEnd"/>
      <w:r w:rsidRPr="009A1789">
        <w:rPr>
          <w:color w:val="000000"/>
        </w:rPr>
        <w:t xml:space="preserve">. </w:t>
      </w:r>
      <w:proofErr w:type="gramStart"/>
      <w:r w:rsidRPr="009A1789">
        <w:rPr>
          <w:color w:val="000000"/>
        </w:rPr>
        <w:t>2022;23:50</w:t>
      </w:r>
      <w:proofErr w:type="gramEnd"/>
      <w:r w:rsidRPr="009A1789">
        <w:rPr>
          <w:color w:val="000000"/>
        </w:rPr>
        <w:t>–69.</w:t>
      </w:r>
    </w:p>
    <w:p w14:paraId="14864E1C" w14:textId="213B49FF" w:rsidR="009A1789" w:rsidRDefault="009A1789" w:rsidP="009C516A">
      <w:pPr>
        <w:pStyle w:val="NormalWeb"/>
        <w:spacing w:before="120" w:after="120" w:line="276" w:lineRule="auto"/>
        <w:ind w:left="709" w:hanging="709"/>
        <w:jc w:val="both"/>
        <w:rPr>
          <w:color w:val="000000"/>
        </w:rPr>
      </w:pPr>
      <w:proofErr w:type="spellStart"/>
      <w:r w:rsidRPr="009A1789">
        <w:rPr>
          <w:color w:val="000000"/>
        </w:rPr>
        <w:t>Karami</w:t>
      </w:r>
      <w:proofErr w:type="spellEnd"/>
      <w:r w:rsidRPr="009A1789">
        <w:rPr>
          <w:color w:val="000000"/>
        </w:rPr>
        <w:t xml:space="preserve"> S, </w:t>
      </w:r>
      <w:proofErr w:type="spellStart"/>
      <w:r w:rsidRPr="009A1789">
        <w:rPr>
          <w:color w:val="000000"/>
        </w:rPr>
        <w:t>Soleymani</w:t>
      </w:r>
      <w:proofErr w:type="spellEnd"/>
      <w:r w:rsidRPr="009A1789">
        <w:rPr>
          <w:color w:val="000000"/>
        </w:rPr>
        <w:t xml:space="preserve"> S, et al. </w:t>
      </w:r>
      <w:proofErr w:type="spellStart"/>
      <w:r w:rsidRPr="009A1789">
        <w:rPr>
          <w:color w:val="000000"/>
        </w:rPr>
        <w:t>Ethnopharmacology</w:t>
      </w:r>
      <w:proofErr w:type="spellEnd"/>
      <w:r w:rsidRPr="009A1789">
        <w:rPr>
          <w:color w:val="000000"/>
        </w:rPr>
        <w:t xml:space="preserve"> of </w:t>
      </w:r>
      <w:proofErr w:type="spellStart"/>
      <w:r w:rsidRPr="009A1789">
        <w:rPr>
          <w:color w:val="000000"/>
        </w:rPr>
        <w:t>Cymbopogon</w:t>
      </w:r>
      <w:proofErr w:type="spellEnd"/>
      <w:r w:rsidRPr="009A1789">
        <w:rPr>
          <w:color w:val="000000"/>
        </w:rPr>
        <w:t xml:space="preserve">. </w:t>
      </w:r>
      <w:proofErr w:type="spellStart"/>
      <w:r w:rsidRPr="009A1789">
        <w:rPr>
          <w:color w:val="000000"/>
        </w:rPr>
        <w:t>Journal</w:t>
      </w:r>
      <w:proofErr w:type="spellEnd"/>
      <w:r w:rsidRPr="009A1789">
        <w:rPr>
          <w:color w:val="000000"/>
        </w:rPr>
        <w:t xml:space="preserve"> of </w:t>
      </w:r>
      <w:proofErr w:type="spellStart"/>
      <w:r w:rsidRPr="009A1789">
        <w:rPr>
          <w:color w:val="000000"/>
        </w:rPr>
        <w:t>Research</w:t>
      </w:r>
      <w:proofErr w:type="spellEnd"/>
      <w:r w:rsidRPr="009A1789">
        <w:rPr>
          <w:color w:val="000000"/>
        </w:rPr>
        <w:t xml:space="preserve"> in </w:t>
      </w:r>
      <w:proofErr w:type="spellStart"/>
      <w:r w:rsidRPr="009A1789">
        <w:rPr>
          <w:color w:val="000000"/>
        </w:rPr>
        <w:t>Pharmacy</w:t>
      </w:r>
      <w:proofErr w:type="spellEnd"/>
      <w:r w:rsidRPr="009A1789">
        <w:rPr>
          <w:color w:val="000000"/>
        </w:rPr>
        <w:t>. 2021;8(3):83–112.</w:t>
      </w:r>
    </w:p>
    <w:p w14:paraId="2F02F2D6" w14:textId="77777777" w:rsidR="00BA4560" w:rsidRPr="00BA4560" w:rsidRDefault="00BA4560" w:rsidP="00BA4560">
      <w:pPr>
        <w:pStyle w:val="NormalWeb"/>
        <w:spacing w:before="120" w:after="120" w:line="276" w:lineRule="auto"/>
        <w:ind w:left="709" w:hanging="709"/>
        <w:jc w:val="both"/>
        <w:rPr>
          <w:color w:val="000000"/>
        </w:rPr>
      </w:pPr>
      <w:proofErr w:type="spellStart"/>
      <w:r w:rsidRPr="00BA4560">
        <w:rPr>
          <w:color w:val="000000"/>
        </w:rPr>
        <w:t>Lalko</w:t>
      </w:r>
      <w:proofErr w:type="spellEnd"/>
      <w:r w:rsidRPr="00BA4560">
        <w:rPr>
          <w:color w:val="000000"/>
        </w:rPr>
        <w:t xml:space="preserve"> J, </w:t>
      </w:r>
      <w:proofErr w:type="spellStart"/>
      <w:r w:rsidRPr="00BA4560">
        <w:rPr>
          <w:color w:val="000000"/>
        </w:rPr>
        <w:t>Api</w:t>
      </w:r>
      <w:proofErr w:type="spellEnd"/>
      <w:r w:rsidRPr="00BA4560">
        <w:rPr>
          <w:color w:val="000000"/>
        </w:rPr>
        <w:t xml:space="preserve"> AM. </w:t>
      </w:r>
      <w:proofErr w:type="spellStart"/>
      <w:r w:rsidRPr="00BA4560">
        <w:rPr>
          <w:color w:val="000000"/>
        </w:rPr>
        <w:t>Investigation</w:t>
      </w:r>
      <w:proofErr w:type="spellEnd"/>
      <w:r w:rsidRPr="00BA4560">
        <w:rPr>
          <w:color w:val="000000"/>
        </w:rPr>
        <w:t xml:space="preserve"> of </w:t>
      </w:r>
      <w:proofErr w:type="spellStart"/>
      <w:r w:rsidRPr="00BA4560">
        <w:rPr>
          <w:color w:val="000000"/>
        </w:rPr>
        <w:t>the</w:t>
      </w:r>
      <w:proofErr w:type="spellEnd"/>
      <w:r w:rsidRPr="00BA4560">
        <w:rPr>
          <w:color w:val="000000"/>
        </w:rPr>
        <w:t xml:space="preserve"> </w:t>
      </w:r>
      <w:proofErr w:type="spellStart"/>
      <w:r w:rsidRPr="00BA4560">
        <w:rPr>
          <w:color w:val="000000"/>
        </w:rPr>
        <w:t>dermal</w:t>
      </w:r>
      <w:proofErr w:type="spellEnd"/>
      <w:r w:rsidRPr="00BA4560">
        <w:rPr>
          <w:color w:val="000000"/>
        </w:rPr>
        <w:t xml:space="preserve"> </w:t>
      </w:r>
      <w:proofErr w:type="spellStart"/>
      <w:r w:rsidRPr="00BA4560">
        <w:rPr>
          <w:color w:val="000000"/>
        </w:rPr>
        <w:t>sensitization</w:t>
      </w:r>
      <w:proofErr w:type="spellEnd"/>
      <w:r w:rsidRPr="00BA4560">
        <w:rPr>
          <w:color w:val="000000"/>
        </w:rPr>
        <w:t xml:space="preserve"> </w:t>
      </w:r>
      <w:proofErr w:type="spellStart"/>
      <w:r w:rsidRPr="00BA4560">
        <w:rPr>
          <w:color w:val="000000"/>
        </w:rPr>
        <w:t>potential</w:t>
      </w:r>
      <w:proofErr w:type="spellEnd"/>
      <w:r w:rsidRPr="00BA4560">
        <w:rPr>
          <w:color w:val="000000"/>
        </w:rPr>
        <w:t xml:space="preserve"> of </w:t>
      </w:r>
      <w:proofErr w:type="spellStart"/>
      <w:r w:rsidRPr="00BA4560">
        <w:rPr>
          <w:color w:val="000000"/>
        </w:rPr>
        <w:t>various</w:t>
      </w:r>
      <w:proofErr w:type="spellEnd"/>
      <w:r w:rsidRPr="00BA4560">
        <w:rPr>
          <w:color w:val="000000"/>
        </w:rPr>
        <w:t xml:space="preserve"> </w:t>
      </w:r>
      <w:proofErr w:type="spellStart"/>
      <w:r w:rsidRPr="00BA4560">
        <w:rPr>
          <w:color w:val="000000"/>
        </w:rPr>
        <w:t>essential</w:t>
      </w:r>
      <w:proofErr w:type="spellEnd"/>
      <w:r w:rsidRPr="00BA4560">
        <w:rPr>
          <w:color w:val="000000"/>
        </w:rPr>
        <w:t xml:space="preserve"> </w:t>
      </w:r>
      <w:proofErr w:type="spellStart"/>
      <w:r w:rsidRPr="00BA4560">
        <w:rPr>
          <w:color w:val="000000"/>
        </w:rPr>
        <w:t>oils</w:t>
      </w:r>
      <w:proofErr w:type="spellEnd"/>
      <w:r w:rsidRPr="00BA4560">
        <w:rPr>
          <w:color w:val="000000"/>
        </w:rPr>
        <w:t xml:space="preserve"> in </w:t>
      </w:r>
      <w:proofErr w:type="spellStart"/>
      <w:r w:rsidRPr="00BA4560">
        <w:rPr>
          <w:color w:val="000000"/>
        </w:rPr>
        <w:t>the</w:t>
      </w:r>
      <w:proofErr w:type="spellEnd"/>
      <w:r w:rsidRPr="00BA4560">
        <w:rPr>
          <w:color w:val="000000"/>
        </w:rPr>
        <w:t xml:space="preserve"> </w:t>
      </w:r>
      <w:proofErr w:type="spellStart"/>
      <w:r w:rsidRPr="00BA4560">
        <w:rPr>
          <w:color w:val="000000"/>
        </w:rPr>
        <w:t>local</w:t>
      </w:r>
      <w:proofErr w:type="spellEnd"/>
      <w:r w:rsidRPr="00BA4560">
        <w:rPr>
          <w:color w:val="000000"/>
        </w:rPr>
        <w:t xml:space="preserve"> </w:t>
      </w:r>
      <w:proofErr w:type="spellStart"/>
      <w:r w:rsidRPr="00BA4560">
        <w:rPr>
          <w:color w:val="000000"/>
        </w:rPr>
        <w:t>lymph</w:t>
      </w:r>
      <w:proofErr w:type="spellEnd"/>
      <w:r w:rsidRPr="00BA4560">
        <w:rPr>
          <w:color w:val="000000"/>
        </w:rPr>
        <w:t xml:space="preserve"> </w:t>
      </w:r>
      <w:proofErr w:type="spellStart"/>
      <w:r w:rsidRPr="00BA4560">
        <w:rPr>
          <w:color w:val="000000"/>
        </w:rPr>
        <w:t>node</w:t>
      </w:r>
      <w:proofErr w:type="spellEnd"/>
      <w:r w:rsidRPr="00BA4560">
        <w:rPr>
          <w:color w:val="000000"/>
        </w:rPr>
        <w:t xml:space="preserve"> </w:t>
      </w:r>
      <w:proofErr w:type="spellStart"/>
      <w:r w:rsidRPr="00BA4560">
        <w:rPr>
          <w:color w:val="000000"/>
        </w:rPr>
        <w:t>assay</w:t>
      </w:r>
      <w:proofErr w:type="spellEnd"/>
      <w:r w:rsidRPr="00BA4560">
        <w:rPr>
          <w:color w:val="000000"/>
        </w:rPr>
        <w:t xml:space="preserve">. </w:t>
      </w:r>
      <w:proofErr w:type="spellStart"/>
      <w:r w:rsidRPr="00BA4560">
        <w:rPr>
          <w:color w:val="000000"/>
        </w:rPr>
        <w:t>Food</w:t>
      </w:r>
      <w:proofErr w:type="spellEnd"/>
      <w:r w:rsidRPr="00BA4560">
        <w:rPr>
          <w:color w:val="000000"/>
        </w:rPr>
        <w:t xml:space="preserve"> </w:t>
      </w:r>
      <w:proofErr w:type="spellStart"/>
      <w:r w:rsidRPr="00BA4560">
        <w:rPr>
          <w:color w:val="000000"/>
        </w:rPr>
        <w:t>Chem</w:t>
      </w:r>
      <w:proofErr w:type="spellEnd"/>
      <w:r w:rsidRPr="00BA4560">
        <w:rPr>
          <w:color w:val="000000"/>
        </w:rPr>
        <w:t xml:space="preserve"> </w:t>
      </w:r>
      <w:proofErr w:type="spellStart"/>
      <w:r w:rsidRPr="00BA4560">
        <w:rPr>
          <w:color w:val="000000"/>
        </w:rPr>
        <w:t>Toxicol</w:t>
      </w:r>
      <w:proofErr w:type="spellEnd"/>
      <w:r w:rsidRPr="00BA4560">
        <w:rPr>
          <w:color w:val="000000"/>
        </w:rPr>
        <w:t xml:space="preserve">. 2006 May;44(5):739-46. </w:t>
      </w:r>
      <w:proofErr w:type="spellStart"/>
      <w:r w:rsidRPr="00BA4560">
        <w:rPr>
          <w:color w:val="000000"/>
        </w:rPr>
        <w:t>doi</w:t>
      </w:r>
      <w:proofErr w:type="spellEnd"/>
      <w:r w:rsidRPr="00BA4560">
        <w:rPr>
          <w:color w:val="000000"/>
        </w:rPr>
        <w:t xml:space="preserve">: 10.1016/j.fct.2005.10.006. </w:t>
      </w:r>
      <w:proofErr w:type="spellStart"/>
      <w:r w:rsidRPr="00BA4560">
        <w:rPr>
          <w:color w:val="000000"/>
        </w:rPr>
        <w:t>Epub</w:t>
      </w:r>
      <w:proofErr w:type="spellEnd"/>
      <w:r w:rsidRPr="00BA4560">
        <w:rPr>
          <w:color w:val="000000"/>
        </w:rPr>
        <w:t xml:space="preserve"> 2005 </w:t>
      </w:r>
      <w:proofErr w:type="spellStart"/>
      <w:r w:rsidRPr="00BA4560">
        <w:rPr>
          <w:color w:val="000000"/>
        </w:rPr>
        <w:t>Dec</w:t>
      </w:r>
      <w:proofErr w:type="spellEnd"/>
      <w:r w:rsidRPr="00BA4560">
        <w:rPr>
          <w:color w:val="000000"/>
        </w:rPr>
        <w:t xml:space="preserve"> 1. PMID: 16324777.</w:t>
      </w:r>
    </w:p>
    <w:p w14:paraId="7F6F45AF"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Lemmens-Gruber</w:t>
      </w:r>
      <w:proofErr w:type="spellEnd"/>
      <w:r w:rsidRPr="009A1789">
        <w:rPr>
          <w:color w:val="000000"/>
        </w:rPr>
        <w:t xml:space="preserve"> R. </w:t>
      </w:r>
      <w:proofErr w:type="spellStart"/>
      <w:r w:rsidRPr="009A1789">
        <w:rPr>
          <w:color w:val="000000"/>
        </w:rPr>
        <w:t>Adverse</w:t>
      </w:r>
      <w:proofErr w:type="spellEnd"/>
      <w:r w:rsidRPr="009A1789">
        <w:rPr>
          <w:color w:val="000000"/>
        </w:rPr>
        <w:t xml:space="preserve"> </w:t>
      </w:r>
      <w:proofErr w:type="spellStart"/>
      <w:r w:rsidRPr="009A1789">
        <w:rPr>
          <w:color w:val="000000"/>
        </w:rPr>
        <w:t>effects</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intoxication</w:t>
      </w:r>
      <w:proofErr w:type="spellEnd"/>
      <w:r w:rsidRPr="009A1789">
        <w:rPr>
          <w:color w:val="000000"/>
        </w:rPr>
        <w:t xml:space="preserve"> </w:t>
      </w:r>
      <w:proofErr w:type="spellStart"/>
      <w:r w:rsidRPr="009A1789">
        <w:rPr>
          <w:color w:val="000000"/>
        </w:rPr>
        <w:t>with</w:t>
      </w:r>
      <w:proofErr w:type="spellEnd"/>
      <w:r w:rsidRPr="009A1789">
        <w:rPr>
          <w:color w:val="000000"/>
        </w:rPr>
        <w:t xml:space="preserve"> </w:t>
      </w:r>
      <w:proofErr w:type="spellStart"/>
      <w:r w:rsidRPr="009A1789">
        <w:rPr>
          <w:color w:val="000000"/>
        </w:rPr>
        <w:t>essential</w:t>
      </w:r>
      <w:proofErr w:type="spellEnd"/>
      <w:r w:rsidRPr="009A1789">
        <w:rPr>
          <w:color w:val="000000"/>
        </w:rPr>
        <w:t xml:space="preserve"> </w:t>
      </w:r>
      <w:proofErr w:type="spellStart"/>
      <w:r w:rsidRPr="009A1789">
        <w:rPr>
          <w:color w:val="000000"/>
        </w:rPr>
        <w:t>oils</w:t>
      </w:r>
      <w:proofErr w:type="spellEnd"/>
      <w:r w:rsidRPr="009A1789">
        <w:rPr>
          <w:color w:val="000000"/>
        </w:rPr>
        <w:t xml:space="preserve">. </w:t>
      </w:r>
      <w:proofErr w:type="spellStart"/>
      <w:r w:rsidRPr="009A1789">
        <w:rPr>
          <w:color w:val="000000"/>
        </w:rPr>
        <w:t>In</w:t>
      </w:r>
      <w:proofErr w:type="spellEnd"/>
      <w:r w:rsidRPr="009A1789">
        <w:rPr>
          <w:color w:val="000000"/>
        </w:rPr>
        <w:t xml:space="preserve">: </w:t>
      </w:r>
      <w:proofErr w:type="spellStart"/>
      <w:r w:rsidRPr="009A1789">
        <w:rPr>
          <w:color w:val="000000"/>
        </w:rPr>
        <w:t>Handbook</w:t>
      </w:r>
      <w:proofErr w:type="spellEnd"/>
      <w:r w:rsidRPr="009A1789">
        <w:rPr>
          <w:color w:val="000000"/>
        </w:rPr>
        <w:t xml:space="preserve"> of </w:t>
      </w:r>
      <w:proofErr w:type="spellStart"/>
      <w:r w:rsidRPr="009A1789">
        <w:rPr>
          <w:color w:val="000000"/>
        </w:rPr>
        <w:t>Essential</w:t>
      </w:r>
      <w:proofErr w:type="spellEnd"/>
      <w:r w:rsidRPr="009A1789">
        <w:rPr>
          <w:color w:val="000000"/>
        </w:rPr>
        <w:t xml:space="preserve"> </w:t>
      </w:r>
      <w:proofErr w:type="spellStart"/>
      <w:r w:rsidRPr="009A1789">
        <w:rPr>
          <w:color w:val="000000"/>
        </w:rPr>
        <w:t>Oils</w:t>
      </w:r>
      <w:proofErr w:type="spellEnd"/>
      <w:r w:rsidRPr="009A1789">
        <w:rPr>
          <w:color w:val="000000"/>
        </w:rPr>
        <w:t xml:space="preserve">. CRC </w:t>
      </w:r>
      <w:proofErr w:type="spellStart"/>
      <w:r w:rsidRPr="009A1789">
        <w:rPr>
          <w:color w:val="000000"/>
        </w:rPr>
        <w:t>Press</w:t>
      </w:r>
      <w:proofErr w:type="spellEnd"/>
      <w:r w:rsidRPr="009A1789">
        <w:rPr>
          <w:color w:val="000000"/>
        </w:rPr>
        <w:t>; 2020. p. 517–541.</w:t>
      </w:r>
    </w:p>
    <w:p w14:paraId="6AD14FA5" w14:textId="77777777" w:rsidR="009A1789" w:rsidRPr="009A1789" w:rsidRDefault="009A1789" w:rsidP="009C516A">
      <w:pPr>
        <w:pStyle w:val="NormalWeb"/>
        <w:spacing w:before="120" w:after="120" w:line="276" w:lineRule="auto"/>
        <w:ind w:left="709" w:hanging="709"/>
        <w:jc w:val="both"/>
        <w:rPr>
          <w:color w:val="000000"/>
        </w:rPr>
      </w:pPr>
      <w:r w:rsidRPr="009A1789">
        <w:rPr>
          <w:color w:val="000000"/>
        </w:rPr>
        <w:t xml:space="preserve">MHRA. </w:t>
      </w:r>
      <w:proofErr w:type="spellStart"/>
      <w:r w:rsidRPr="009A1789">
        <w:rPr>
          <w:color w:val="000000"/>
        </w:rPr>
        <w:t>List</w:t>
      </w:r>
      <w:proofErr w:type="spellEnd"/>
      <w:r w:rsidRPr="009A1789">
        <w:rPr>
          <w:color w:val="000000"/>
        </w:rPr>
        <w:t xml:space="preserve"> of </w:t>
      </w:r>
      <w:proofErr w:type="spellStart"/>
      <w:r w:rsidRPr="009A1789">
        <w:rPr>
          <w:color w:val="000000"/>
        </w:rPr>
        <w:t>herbal</w:t>
      </w:r>
      <w:proofErr w:type="spellEnd"/>
      <w:r w:rsidRPr="009A1789">
        <w:rPr>
          <w:color w:val="000000"/>
        </w:rPr>
        <w:t xml:space="preserve"> </w:t>
      </w:r>
      <w:proofErr w:type="spellStart"/>
      <w:r w:rsidRPr="009A1789">
        <w:rPr>
          <w:color w:val="000000"/>
        </w:rPr>
        <w:t>ingredients</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their</w:t>
      </w:r>
      <w:proofErr w:type="spellEnd"/>
      <w:r w:rsidRPr="009A1789">
        <w:rPr>
          <w:color w:val="000000"/>
        </w:rPr>
        <w:t xml:space="preserve"> </w:t>
      </w:r>
      <w:proofErr w:type="spellStart"/>
      <w:r w:rsidRPr="009A1789">
        <w:rPr>
          <w:color w:val="000000"/>
        </w:rPr>
        <w:t>uses</w:t>
      </w:r>
      <w:proofErr w:type="spellEnd"/>
      <w:r w:rsidRPr="009A1789">
        <w:rPr>
          <w:color w:val="000000"/>
        </w:rPr>
        <w:t xml:space="preserve">. </w:t>
      </w:r>
      <w:proofErr w:type="spellStart"/>
      <w:r w:rsidRPr="009A1789">
        <w:rPr>
          <w:color w:val="000000"/>
        </w:rPr>
        <w:t>Available</w:t>
      </w:r>
      <w:proofErr w:type="spellEnd"/>
      <w:r w:rsidRPr="009A1789">
        <w:rPr>
          <w:color w:val="000000"/>
        </w:rPr>
        <w:t xml:space="preserve"> </w:t>
      </w:r>
      <w:proofErr w:type="spellStart"/>
      <w:r w:rsidRPr="009A1789">
        <w:rPr>
          <w:color w:val="000000"/>
        </w:rPr>
        <w:t>from</w:t>
      </w:r>
      <w:proofErr w:type="spellEnd"/>
      <w:r w:rsidRPr="009A1789">
        <w:rPr>
          <w:color w:val="000000"/>
        </w:rPr>
        <w:t>: https://www.gov.uk</w:t>
      </w:r>
    </w:p>
    <w:p w14:paraId="7AE95D8E" w14:textId="60178ECE" w:rsidR="009A1789" w:rsidRDefault="009A1789" w:rsidP="009C516A">
      <w:pPr>
        <w:pStyle w:val="NormalWeb"/>
        <w:spacing w:before="120" w:after="120" w:line="276" w:lineRule="auto"/>
        <w:ind w:left="709" w:hanging="709"/>
        <w:jc w:val="both"/>
        <w:rPr>
          <w:color w:val="000000"/>
        </w:rPr>
      </w:pPr>
      <w:r w:rsidRPr="009A1789">
        <w:rPr>
          <w:color w:val="000000"/>
        </w:rPr>
        <w:t xml:space="preserve">MDS. </w:t>
      </w:r>
      <w:proofErr w:type="spellStart"/>
      <w:r w:rsidRPr="009A1789">
        <w:rPr>
          <w:color w:val="000000"/>
        </w:rPr>
        <w:t>Disciplina</w:t>
      </w:r>
      <w:proofErr w:type="spellEnd"/>
      <w:r w:rsidRPr="009A1789">
        <w:rPr>
          <w:color w:val="000000"/>
        </w:rPr>
        <w:t xml:space="preserve"> </w:t>
      </w:r>
      <w:proofErr w:type="spellStart"/>
      <w:r w:rsidRPr="009A1789">
        <w:rPr>
          <w:color w:val="000000"/>
        </w:rPr>
        <w:t>dell'impiego</w:t>
      </w:r>
      <w:proofErr w:type="spellEnd"/>
      <w:r w:rsidRPr="009A1789">
        <w:rPr>
          <w:color w:val="000000"/>
        </w:rPr>
        <w:t xml:space="preserve"> </w:t>
      </w:r>
      <w:proofErr w:type="spellStart"/>
      <w:r w:rsidRPr="009A1789">
        <w:rPr>
          <w:color w:val="000000"/>
        </w:rPr>
        <w:t>negli</w:t>
      </w:r>
      <w:proofErr w:type="spellEnd"/>
      <w:r w:rsidRPr="009A1789">
        <w:rPr>
          <w:color w:val="000000"/>
        </w:rPr>
        <w:t xml:space="preserve"> </w:t>
      </w:r>
      <w:proofErr w:type="spellStart"/>
      <w:r w:rsidRPr="009A1789">
        <w:rPr>
          <w:color w:val="000000"/>
        </w:rPr>
        <w:t>integratori</w:t>
      </w:r>
      <w:proofErr w:type="spellEnd"/>
      <w:r w:rsidRPr="009A1789">
        <w:rPr>
          <w:color w:val="000000"/>
        </w:rPr>
        <w:t xml:space="preserve"> </w:t>
      </w:r>
      <w:proofErr w:type="spellStart"/>
      <w:r w:rsidRPr="009A1789">
        <w:rPr>
          <w:color w:val="000000"/>
        </w:rPr>
        <w:t>alimentari</w:t>
      </w:r>
      <w:proofErr w:type="spellEnd"/>
      <w:r w:rsidRPr="009A1789">
        <w:rPr>
          <w:color w:val="000000"/>
        </w:rPr>
        <w:t xml:space="preserve">. </w:t>
      </w:r>
      <w:proofErr w:type="spellStart"/>
      <w:r w:rsidRPr="009A1789">
        <w:rPr>
          <w:color w:val="000000"/>
        </w:rPr>
        <w:t>Available</w:t>
      </w:r>
      <w:proofErr w:type="spellEnd"/>
      <w:r w:rsidRPr="009A1789">
        <w:rPr>
          <w:color w:val="000000"/>
        </w:rPr>
        <w:t xml:space="preserve"> </w:t>
      </w:r>
      <w:proofErr w:type="spellStart"/>
      <w:r w:rsidRPr="009A1789">
        <w:rPr>
          <w:color w:val="000000"/>
        </w:rPr>
        <w:t>from</w:t>
      </w:r>
      <w:proofErr w:type="spellEnd"/>
      <w:r w:rsidRPr="009A1789">
        <w:rPr>
          <w:color w:val="000000"/>
        </w:rPr>
        <w:t xml:space="preserve">: </w:t>
      </w:r>
      <w:hyperlink r:id="rId15" w:history="1">
        <w:r w:rsidR="00BA4560" w:rsidRPr="009D2A6D">
          <w:rPr>
            <w:rStyle w:val="Kpr"/>
          </w:rPr>
          <w:t>https://www.salute.gov.it</w:t>
        </w:r>
      </w:hyperlink>
    </w:p>
    <w:p w14:paraId="789D76AA" w14:textId="7B0D1898" w:rsidR="00BA4560" w:rsidRPr="009A1789" w:rsidRDefault="00BA4560" w:rsidP="00BA4560">
      <w:pPr>
        <w:pStyle w:val="NormalWeb"/>
        <w:spacing w:before="120" w:after="120" w:line="276" w:lineRule="auto"/>
        <w:ind w:left="709" w:hanging="709"/>
        <w:jc w:val="both"/>
        <w:rPr>
          <w:color w:val="000000"/>
        </w:rPr>
      </w:pPr>
      <w:proofErr w:type="spellStart"/>
      <w:r w:rsidRPr="00BA4560">
        <w:rPr>
          <w:color w:val="000000"/>
        </w:rPr>
        <w:t>Neetu</w:t>
      </w:r>
      <w:proofErr w:type="spellEnd"/>
      <w:r w:rsidRPr="00BA4560">
        <w:rPr>
          <w:color w:val="000000"/>
        </w:rPr>
        <w:t xml:space="preserve"> </w:t>
      </w:r>
      <w:proofErr w:type="spellStart"/>
      <w:r w:rsidRPr="00BA4560">
        <w:rPr>
          <w:color w:val="000000"/>
        </w:rPr>
        <w:t>Jain</w:t>
      </w:r>
      <w:proofErr w:type="spellEnd"/>
      <w:r w:rsidRPr="00BA4560">
        <w:rPr>
          <w:color w:val="000000"/>
        </w:rPr>
        <w:t xml:space="preserve">, S C </w:t>
      </w:r>
      <w:proofErr w:type="spellStart"/>
      <w:r w:rsidRPr="00BA4560">
        <w:rPr>
          <w:color w:val="000000"/>
        </w:rPr>
        <w:t>Joshi</w:t>
      </w:r>
      <w:proofErr w:type="spellEnd"/>
      <w:r w:rsidRPr="00BA4560">
        <w:rPr>
          <w:color w:val="000000"/>
        </w:rPr>
        <w:t xml:space="preserve"> &amp; </w:t>
      </w:r>
      <w:proofErr w:type="spellStart"/>
      <w:r w:rsidRPr="00BA4560">
        <w:rPr>
          <w:color w:val="000000"/>
        </w:rPr>
        <w:t>Seema</w:t>
      </w:r>
      <w:proofErr w:type="spellEnd"/>
      <w:r w:rsidRPr="00BA4560">
        <w:rPr>
          <w:color w:val="000000"/>
        </w:rPr>
        <w:t xml:space="preserve"> </w:t>
      </w:r>
      <w:proofErr w:type="spellStart"/>
      <w:r w:rsidRPr="00BA4560">
        <w:rPr>
          <w:color w:val="000000"/>
        </w:rPr>
        <w:t>Bhadauria</w:t>
      </w:r>
      <w:proofErr w:type="spellEnd"/>
      <w:r w:rsidRPr="00BA4560">
        <w:rPr>
          <w:color w:val="000000"/>
        </w:rPr>
        <w:t xml:space="preserve">. (2023) </w:t>
      </w:r>
      <w:proofErr w:type="spellStart"/>
      <w:r w:rsidRPr="00BA4560">
        <w:rPr>
          <w:color w:val="000000"/>
        </w:rPr>
        <w:t>Chemical</w:t>
      </w:r>
      <w:proofErr w:type="spellEnd"/>
      <w:r w:rsidRPr="00BA4560">
        <w:rPr>
          <w:color w:val="000000"/>
        </w:rPr>
        <w:t xml:space="preserve"> </w:t>
      </w:r>
      <w:proofErr w:type="spellStart"/>
      <w:r w:rsidRPr="00BA4560">
        <w:rPr>
          <w:color w:val="000000"/>
        </w:rPr>
        <w:t>constituents</w:t>
      </w:r>
      <w:proofErr w:type="spellEnd"/>
      <w:r w:rsidRPr="00BA4560">
        <w:rPr>
          <w:color w:val="000000"/>
        </w:rPr>
        <w:t xml:space="preserve">, </w:t>
      </w:r>
      <w:proofErr w:type="spellStart"/>
      <w:r w:rsidRPr="00BA4560">
        <w:rPr>
          <w:color w:val="000000"/>
        </w:rPr>
        <w:t>toxicity</w:t>
      </w:r>
      <w:proofErr w:type="spellEnd"/>
      <w:r w:rsidRPr="00BA4560">
        <w:rPr>
          <w:color w:val="000000"/>
        </w:rPr>
        <w:t xml:space="preserve">, </w:t>
      </w:r>
      <w:proofErr w:type="spellStart"/>
      <w:r w:rsidRPr="00BA4560">
        <w:rPr>
          <w:color w:val="000000"/>
        </w:rPr>
        <w:t>and</w:t>
      </w:r>
      <w:proofErr w:type="spellEnd"/>
      <w:r w:rsidRPr="00BA4560">
        <w:rPr>
          <w:color w:val="000000"/>
        </w:rPr>
        <w:t xml:space="preserve"> </w:t>
      </w:r>
      <w:proofErr w:type="spellStart"/>
      <w:r w:rsidRPr="00BA4560">
        <w:rPr>
          <w:color w:val="000000"/>
        </w:rPr>
        <w:t>antifungal</w:t>
      </w:r>
      <w:proofErr w:type="spellEnd"/>
      <w:r w:rsidRPr="00BA4560">
        <w:rPr>
          <w:color w:val="000000"/>
        </w:rPr>
        <w:t xml:space="preserve"> </w:t>
      </w:r>
      <w:proofErr w:type="spellStart"/>
      <w:r w:rsidRPr="00BA4560">
        <w:rPr>
          <w:color w:val="000000"/>
        </w:rPr>
        <w:t>potential</w:t>
      </w:r>
      <w:proofErr w:type="spellEnd"/>
      <w:r w:rsidRPr="00BA4560">
        <w:rPr>
          <w:color w:val="000000"/>
        </w:rPr>
        <w:t xml:space="preserve"> of </w:t>
      </w:r>
      <w:proofErr w:type="spellStart"/>
      <w:r w:rsidRPr="00BA4560">
        <w:rPr>
          <w:color w:val="000000"/>
        </w:rPr>
        <w:t>Coriandrum</w:t>
      </w:r>
      <w:proofErr w:type="spellEnd"/>
      <w:r w:rsidRPr="00BA4560">
        <w:rPr>
          <w:color w:val="000000"/>
        </w:rPr>
        <w:t xml:space="preserve"> </w:t>
      </w:r>
      <w:proofErr w:type="spellStart"/>
      <w:r w:rsidRPr="00BA4560">
        <w:rPr>
          <w:color w:val="000000"/>
        </w:rPr>
        <w:t>sativum</w:t>
      </w:r>
      <w:proofErr w:type="spellEnd"/>
      <w:r w:rsidRPr="00BA4560">
        <w:rPr>
          <w:color w:val="000000"/>
        </w:rPr>
        <w:t xml:space="preserve"> L. </w:t>
      </w:r>
      <w:proofErr w:type="spellStart"/>
      <w:r w:rsidRPr="00BA4560">
        <w:rPr>
          <w:color w:val="000000"/>
        </w:rPr>
        <w:t>seed</w:t>
      </w:r>
      <w:proofErr w:type="spellEnd"/>
      <w:r w:rsidRPr="00BA4560">
        <w:rPr>
          <w:color w:val="000000"/>
        </w:rPr>
        <w:t xml:space="preserve"> </w:t>
      </w:r>
      <w:proofErr w:type="spellStart"/>
      <w:r w:rsidRPr="00BA4560">
        <w:rPr>
          <w:color w:val="000000"/>
        </w:rPr>
        <w:t>essential</w:t>
      </w:r>
      <w:proofErr w:type="spellEnd"/>
      <w:r w:rsidRPr="00BA4560">
        <w:rPr>
          <w:color w:val="000000"/>
        </w:rPr>
        <w:t xml:space="preserve"> </w:t>
      </w:r>
      <w:proofErr w:type="spellStart"/>
      <w:r w:rsidRPr="00BA4560">
        <w:rPr>
          <w:color w:val="000000"/>
        </w:rPr>
        <w:t>oil</w:t>
      </w:r>
      <w:proofErr w:type="spellEnd"/>
      <w:r w:rsidRPr="00BA4560">
        <w:rPr>
          <w:color w:val="000000"/>
        </w:rPr>
        <w:t xml:space="preserve"> </w:t>
      </w:r>
      <w:proofErr w:type="spellStart"/>
      <w:r w:rsidRPr="00BA4560">
        <w:rPr>
          <w:color w:val="000000"/>
        </w:rPr>
        <w:t>and</w:t>
      </w:r>
      <w:proofErr w:type="spellEnd"/>
      <w:r w:rsidRPr="00BA4560">
        <w:rPr>
          <w:color w:val="000000"/>
        </w:rPr>
        <w:t xml:space="preserve"> </w:t>
      </w:r>
      <w:proofErr w:type="spellStart"/>
      <w:r w:rsidRPr="00BA4560">
        <w:rPr>
          <w:color w:val="000000"/>
        </w:rPr>
        <w:t>their</w:t>
      </w:r>
      <w:proofErr w:type="spellEnd"/>
      <w:r w:rsidRPr="00BA4560">
        <w:rPr>
          <w:color w:val="000000"/>
        </w:rPr>
        <w:t xml:space="preserve"> </w:t>
      </w:r>
      <w:proofErr w:type="spellStart"/>
      <w:r w:rsidRPr="00BA4560">
        <w:rPr>
          <w:color w:val="000000"/>
        </w:rPr>
        <w:t>fractions</w:t>
      </w:r>
      <w:proofErr w:type="spellEnd"/>
      <w:r w:rsidRPr="00BA4560">
        <w:rPr>
          <w:color w:val="000000"/>
        </w:rPr>
        <w:t xml:space="preserve"> </w:t>
      </w:r>
      <w:proofErr w:type="spellStart"/>
      <w:r w:rsidRPr="00BA4560">
        <w:rPr>
          <w:color w:val="000000"/>
        </w:rPr>
        <w:t>against</w:t>
      </w:r>
      <w:proofErr w:type="spellEnd"/>
      <w:r w:rsidRPr="00BA4560">
        <w:rPr>
          <w:color w:val="000000"/>
        </w:rPr>
        <w:t xml:space="preserve"> </w:t>
      </w:r>
      <w:proofErr w:type="spellStart"/>
      <w:r w:rsidRPr="00BA4560">
        <w:rPr>
          <w:color w:val="000000"/>
        </w:rPr>
        <w:t>fungi</w:t>
      </w:r>
      <w:proofErr w:type="spellEnd"/>
      <w:r w:rsidRPr="00BA4560">
        <w:rPr>
          <w:color w:val="000000"/>
        </w:rPr>
        <w:t xml:space="preserve"> </w:t>
      </w:r>
      <w:proofErr w:type="spellStart"/>
      <w:r w:rsidRPr="00BA4560">
        <w:rPr>
          <w:color w:val="000000"/>
        </w:rPr>
        <w:t>causing</w:t>
      </w:r>
      <w:proofErr w:type="spellEnd"/>
      <w:r w:rsidRPr="00BA4560">
        <w:rPr>
          <w:color w:val="000000"/>
        </w:rPr>
        <w:t xml:space="preserve"> </w:t>
      </w:r>
      <w:proofErr w:type="spellStart"/>
      <w:r w:rsidRPr="00BA4560">
        <w:rPr>
          <w:color w:val="000000"/>
        </w:rPr>
        <w:t>ringworm</w:t>
      </w:r>
      <w:proofErr w:type="spellEnd"/>
      <w:r w:rsidRPr="00BA4560">
        <w:rPr>
          <w:color w:val="000000"/>
        </w:rPr>
        <w:t xml:space="preserve"> </w:t>
      </w:r>
      <w:proofErr w:type="spellStart"/>
      <w:r w:rsidRPr="00BA4560">
        <w:rPr>
          <w:color w:val="000000"/>
        </w:rPr>
        <w:t>infection</w:t>
      </w:r>
      <w:proofErr w:type="spellEnd"/>
      <w:r w:rsidRPr="00BA4560">
        <w:rPr>
          <w:color w:val="000000"/>
        </w:rPr>
        <w:t xml:space="preserve"> in </w:t>
      </w:r>
      <w:proofErr w:type="spellStart"/>
      <w:r w:rsidRPr="00BA4560">
        <w:rPr>
          <w:color w:val="000000"/>
        </w:rPr>
        <w:t>human</w:t>
      </w:r>
      <w:proofErr w:type="spellEnd"/>
      <w:r w:rsidRPr="00BA4560">
        <w:rPr>
          <w:color w:val="000000"/>
        </w:rPr>
        <w:t xml:space="preserve">. </w:t>
      </w:r>
      <w:proofErr w:type="spellStart"/>
      <w:r w:rsidRPr="00BA4560">
        <w:rPr>
          <w:color w:val="000000"/>
        </w:rPr>
        <w:t>Journal</w:t>
      </w:r>
      <w:proofErr w:type="spellEnd"/>
      <w:r w:rsidRPr="00BA4560">
        <w:rPr>
          <w:color w:val="000000"/>
        </w:rPr>
        <w:t xml:space="preserve"> of </w:t>
      </w:r>
      <w:proofErr w:type="spellStart"/>
      <w:r w:rsidRPr="00BA4560">
        <w:rPr>
          <w:color w:val="000000"/>
        </w:rPr>
        <w:t>Essential</w:t>
      </w:r>
      <w:proofErr w:type="spellEnd"/>
      <w:r w:rsidRPr="00BA4560">
        <w:rPr>
          <w:color w:val="000000"/>
        </w:rPr>
        <w:t xml:space="preserve"> </w:t>
      </w:r>
      <w:proofErr w:type="spellStart"/>
      <w:r w:rsidRPr="00BA4560">
        <w:rPr>
          <w:color w:val="000000"/>
        </w:rPr>
        <w:t>Oil</w:t>
      </w:r>
      <w:proofErr w:type="spellEnd"/>
      <w:r w:rsidRPr="00BA4560">
        <w:rPr>
          <w:color w:val="000000"/>
        </w:rPr>
        <w:t xml:space="preserve"> </w:t>
      </w:r>
      <w:proofErr w:type="spellStart"/>
      <w:r w:rsidRPr="00BA4560">
        <w:rPr>
          <w:color w:val="000000"/>
        </w:rPr>
        <w:t>Bearing</w:t>
      </w:r>
      <w:proofErr w:type="spellEnd"/>
      <w:r w:rsidRPr="00BA4560">
        <w:rPr>
          <w:color w:val="000000"/>
        </w:rPr>
        <w:t xml:space="preserve"> </w:t>
      </w:r>
      <w:proofErr w:type="spellStart"/>
      <w:r w:rsidRPr="00BA4560">
        <w:rPr>
          <w:color w:val="000000"/>
        </w:rPr>
        <w:t>Plants</w:t>
      </w:r>
      <w:proofErr w:type="spellEnd"/>
      <w:r w:rsidRPr="00BA4560">
        <w:rPr>
          <w:color w:val="000000"/>
        </w:rPr>
        <w:t xml:space="preserve"> 26:3, </w:t>
      </w:r>
      <w:proofErr w:type="spellStart"/>
      <w:r w:rsidRPr="00BA4560">
        <w:rPr>
          <w:color w:val="000000"/>
        </w:rPr>
        <w:t>pages</w:t>
      </w:r>
      <w:proofErr w:type="spellEnd"/>
      <w:r w:rsidRPr="00BA4560">
        <w:rPr>
          <w:color w:val="000000"/>
        </w:rPr>
        <w:t xml:space="preserve"> 664-676.</w:t>
      </w:r>
    </w:p>
    <w:p w14:paraId="65B71116" w14:textId="0812F073" w:rsidR="009A1789" w:rsidRDefault="009A1789" w:rsidP="009C516A">
      <w:pPr>
        <w:pStyle w:val="NormalWeb"/>
        <w:spacing w:before="120" w:after="120" w:line="276" w:lineRule="auto"/>
        <w:ind w:left="709" w:hanging="709"/>
        <w:jc w:val="both"/>
        <w:rPr>
          <w:color w:val="000000"/>
        </w:rPr>
      </w:pPr>
      <w:r w:rsidRPr="009A1789">
        <w:rPr>
          <w:color w:val="000000"/>
        </w:rPr>
        <w:t xml:space="preserve">NNGYK. </w:t>
      </w:r>
      <w:proofErr w:type="spellStart"/>
      <w:r w:rsidRPr="009A1789">
        <w:rPr>
          <w:color w:val="000000"/>
        </w:rPr>
        <w:t>List</w:t>
      </w:r>
      <w:proofErr w:type="spellEnd"/>
      <w:r w:rsidRPr="009A1789">
        <w:rPr>
          <w:color w:val="000000"/>
        </w:rPr>
        <w:t xml:space="preserve"> of </w:t>
      </w:r>
      <w:proofErr w:type="spellStart"/>
      <w:r w:rsidRPr="009A1789">
        <w:rPr>
          <w:color w:val="000000"/>
        </w:rPr>
        <w:t>non-recommended</w:t>
      </w:r>
      <w:proofErr w:type="spellEnd"/>
      <w:r w:rsidRPr="009A1789">
        <w:rPr>
          <w:color w:val="000000"/>
        </w:rPr>
        <w:t xml:space="preserve"> </w:t>
      </w:r>
      <w:proofErr w:type="spellStart"/>
      <w:r w:rsidRPr="009A1789">
        <w:rPr>
          <w:color w:val="000000"/>
        </w:rPr>
        <w:t>plants</w:t>
      </w:r>
      <w:proofErr w:type="spellEnd"/>
      <w:r w:rsidRPr="009A1789">
        <w:rPr>
          <w:color w:val="000000"/>
        </w:rPr>
        <w:t xml:space="preserve"> in </w:t>
      </w:r>
      <w:proofErr w:type="spellStart"/>
      <w:r w:rsidRPr="009A1789">
        <w:rPr>
          <w:color w:val="000000"/>
        </w:rPr>
        <w:t>food</w:t>
      </w:r>
      <w:proofErr w:type="spellEnd"/>
      <w:r w:rsidRPr="009A1789">
        <w:rPr>
          <w:color w:val="000000"/>
        </w:rPr>
        <w:t xml:space="preserve"> </w:t>
      </w:r>
      <w:proofErr w:type="spellStart"/>
      <w:r w:rsidRPr="009A1789">
        <w:rPr>
          <w:color w:val="000000"/>
        </w:rPr>
        <w:t>supplements</w:t>
      </w:r>
      <w:proofErr w:type="spellEnd"/>
      <w:r w:rsidRPr="009A1789">
        <w:rPr>
          <w:color w:val="000000"/>
        </w:rPr>
        <w:t xml:space="preserve">. </w:t>
      </w:r>
      <w:proofErr w:type="spellStart"/>
      <w:r w:rsidRPr="009A1789">
        <w:rPr>
          <w:color w:val="000000"/>
        </w:rPr>
        <w:t>Available</w:t>
      </w:r>
      <w:proofErr w:type="spellEnd"/>
      <w:r w:rsidRPr="009A1789">
        <w:rPr>
          <w:color w:val="000000"/>
        </w:rPr>
        <w:t xml:space="preserve"> </w:t>
      </w:r>
      <w:proofErr w:type="spellStart"/>
      <w:r w:rsidRPr="009A1789">
        <w:rPr>
          <w:color w:val="000000"/>
        </w:rPr>
        <w:t>from</w:t>
      </w:r>
      <w:proofErr w:type="spellEnd"/>
      <w:r w:rsidRPr="009A1789">
        <w:rPr>
          <w:color w:val="000000"/>
        </w:rPr>
        <w:t xml:space="preserve">: </w:t>
      </w:r>
      <w:hyperlink r:id="rId16" w:history="1">
        <w:r w:rsidR="00BA4560" w:rsidRPr="009D2A6D">
          <w:rPr>
            <w:rStyle w:val="Kpr"/>
          </w:rPr>
          <w:t>https://ogyei.gov.hu</w:t>
        </w:r>
      </w:hyperlink>
    </w:p>
    <w:p w14:paraId="1487F36D" w14:textId="2A2191F6" w:rsidR="00BA4560" w:rsidRDefault="00BA4560" w:rsidP="009C516A">
      <w:pPr>
        <w:pStyle w:val="NormalWeb"/>
        <w:spacing w:before="120" w:after="120" w:line="276" w:lineRule="auto"/>
        <w:ind w:left="709" w:hanging="709"/>
        <w:jc w:val="both"/>
        <w:rPr>
          <w:color w:val="000000"/>
        </w:rPr>
      </w:pPr>
      <w:r w:rsidRPr="00BA4560">
        <w:rPr>
          <w:color w:val="000000"/>
        </w:rPr>
        <w:t xml:space="preserve">OECD. SIDS </w:t>
      </w:r>
      <w:proofErr w:type="spellStart"/>
      <w:r w:rsidRPr="00BA4560">
        <w:rPr>
          <w:color w:val="000000"/>
        </w:rPr>
        <w:t>Initial</w:t>
      </w:r>
      <w:proofErr w:type="spellEnd"/>
      <w:r w:rsidRPr="00BA4560">
        <w:rPr>
          <w:color w:val="000000"/>
        </w:rPr>
        <w:t xml:space="preserve"> </w:t>
      </w:r>
      <w:proofErr w:type="spellStart"/>
      <w:r w:rsidRPr="00BA4560">
        <w:rPr>
          <w:color w:val="000000"/>
        </w:rPr>
        <w:t>Assessment</w:t>
      </w:r>
      <w:proofErr w:type="spellEnd"/>
      <w:r w:rsidRPr="00BA4560">
        <w:rPr>
          <w:color w:val="000000"/>
        </w:rPr>
        <w:t xml:space="preserve"> Report </w:t>
      </w:r>
      <w:proofErr w:type="spellStart"/>
      <w:r w:rsidRPr="00BA4560">
        <w:rPr>
          <w:color w:val="000000"/>
        </w:rPr>
        <w:t>for</w:t>
      </w:r>
      <w:proofErr w:type="spellEnd"/>
      <w:r w:rsidRPr="00BA4560">
        <w:rPr>
          <w:color w:val="000000"/>
        </w:rPr>
        <w:t xml:space="preserve"> </w:t>
      </w:r>
      <w:proofErr w:type="spellStart"/>
      <w:r w:rsidRPr="00BA4560">
        <w:rPr>
          <w:color w:val="000000"/>
        </w:rPr>
        <w:t>Geraniol</w:t>
      </w:r>
      <w:proofErr w:type="spellEnd"/>
      <w:r w:rsidRPr="00BA4560">
        <w:rPr>
          <w:color w:val="000000"/>
        </w:rPr>
        <w:t>. UNEP Publications; 2006.</w:t>
      </w:r>
    </w:p>
    <w:p w14:paraId="64E95CB6" w14:textId="09313346" w:rsidR="004C27D4" w:rsidRPr="009A1789" w:rsidRDefault="004C27D4" w:rsidP="009C516A">
      <w:pPr>
        <w:pStyle w:val="NormalWeb"/>
        <w:spacing w:before="120" w:after="120" w:line="276" w:lineRule="auto"/>
        <w:ind w:left="709" w:hanging="709"/>
        <w:jc w:val="both"/>
        <w:rPr>
          <w:color w:val="000000"/>
        </w:rPr>
      </w:pPr>
      <w:proofErr w:type="spellStart"/>
      <w:r w:rsidRPr="004C27D4">
        <w:rPr>
          <w:color w:val="000000"/>
        </w:rPr>
        <w:t>Pavan</w:t>
      </w:r>
      <w:proofErr w:type="spellEnd"/>
      <w:r w:rsidRPr="004C27D4">
        <w:rPr>
          <w:color w:val="000000"/>
        </w:rPr>
        <w:t xml:space="preserve"> B, </w:t>
      </w:r>
      <w:proofErr w:type="spellStart"/>
      <w:r w:rsidRPr="004C27D4">
        <w:rPr>
          <w:color w:val="000000"/>
        </w:rPr>
        <w:t>Dalpiaz</w:t>
      </w:r>
      <w:proofErr w:type="spellEnd"/>
      <w:r w:rsidRPr="004C27D4">
        <w:rPr>
          <w:color w:val="000000"/>
        </w:rPr>
        <w:t xml:space="preserve"> A, </w:t>
      </w:r>
      <w:proofErr w:type="spellStart"/>
      <w:r w:rsidRPr="004C27D4">
        <w:rPr>
          <w:color w:val="000000"/>
        </w:rPr>
        <w:t>Marani</w:t>
      </w:r>
      <w:proofErr w:type="spellEnd"/>
      <w:r w:rsidRPr="004C27D4">
        <w:rPr>
          <w:color w:val="000000"/>
        </w:rPr>
        <w:t xml:space="preserve"> L, </w:t>
      </w:r>
      <w:proofErr w:type="spellStart"/>
      <w:r w:rsidRPr="004C27D4">
        <w:rPr>
          <w:color w:val="000000"/>
        </w:rPr>
        <w:t>Beggiato</w:t>
      </w:r>
      <w:proofErr w:type="spellEnd"/>
      <w:r w:rsidRPr="004C27D4">
        <w:rPr>
          <w:color w:val="000000"/>
        </w:rPr>
        <w:t xml:space="preserve"> S, </w:t>
      </w:r>
      <w:proofErr w:type="spellStart"/>
      <w:r w:rsidRPr="004C27D4">
        <w:rPr>
          <w:color w:val="000000"/>
        </w:rPr>
        <w:t>Ferraro</w:t>
      </w:r>
      <w:proofErr w:type="spellEnd"/>
      <w:r w:rsidRPr="004C27D4">
        <w:rPr>
          <w:color w:val="000000"/>
        </w:rPr>
        <w:t xml:space="preserve"> L, </w:t>
      </w:r>
      <w:proofErr w:type="spellStart"/>
      <w:r w:rsidRPr="004C27D4">
        <w:rPr>
          <w:color w:val="000000"/>
        </w:rPr>
        <w:t>Canistro</w:t>
      </w:r>
      <w:proofErr w:type="spellEnd"/>
      <w:r w:rsidRPr="004C27D4">
        <w:rPr>
          <w:color w:val="000000"/>
        </w:rPr>
        <w:t xml:space="preserve"> D, </w:t>
      </w:r>
      <w:proofErr w:type="spellStart"/>
      <w:r w:rsidRPr="004C27D4">
        <w:rPr>
          <w:color w:val="000000"/>
        </w:rPr>
        <w:t>Paolini</w:t>
      </w:r>
      <w:proofErr w:type="spellEnd"/>
      <w:r w:rsidRPr="004C27D4">
        <w:rPr>
          <w:color w:val="000000"/>
        </w:rPr>
        <w:t xml:space="preserve"> M, </w:t>
      </w:r>
      <w:proofErr w:type="spellStart"/>
      <w:r w:rsidRPr="004C27D4">
        <w:rPr>
          <w:color w:val="000000"/>
        </w:rPr>
        <w:t>Vivarelli</w:t>
      </w:r>
      <w:proofErr w:type="spellEnd"/>
      <w:r w:rsidRPr="004C27D4">
        <w:rPr>
          <w:color w:val="000000"/>
        </w:rPr>
        <w:t xml:space="preserve"> F, </w:t>
      </w:r>
      <w:proofErr w:type="spellStart"/>
      <w:r w:rsidRPr="004C27D4">
        <w:rPr>
          <w:color w:val="000000"/>
        </w:rPr>
        <w:t>Valerii</w:t>
      </w:r>
      <w:proofErr w:type="spellEnd"/>
      <w:r w:rsidRPr="004C27D4">
        <w:rPr>
          <w:color w:val="000000"/>
        </w:rPr>
        <w:t xml:space="preserve"> MC, </w:t>
      </w:r>
      <w:proofErr w:type="spellStart"/>
      <w:r w:rsidRPr="004C27D4">
        <w:rPr>
          <w:color w:val="000000"/>
        </w:rPr>
        <w:t>Comparone</w:t>
      </w:r>
      <w:proofErr w:type="spellEnd"/>
      <w:r w:rsidRPr="004C27D4">
        <w:rPr>
          <w:color w:val="000000"/>
        </w:rPr>
        <w:t xml:space="preserve"> A, De </w:t>
      </w:r>
      <w:proofErr w:type="spellStart"/>
      <w:r w:rsidRPr="004C27D4">
        <w:rPr>
          <w:color w:val="000000"/>
        </w:rPr>
        <w:t>Fazio</w:t>
      </w:r>
      <w:proofErr w:type="spellEnd"/>
      <w:r w:rsidRPr="004C27D4">
        <w:rPr>
          <w:color w:val="000000"/>
        </w:rPr>
        <w:t xml:space="preserve"> L, </w:t>
      </w:r>
      <w:proofErr w:type="spellStart"/>
      <w:r w:rsidRPr="004C27D4">
        <w:rPr>
          <w:color w:val="000000"/>
        </w:rPr>
        <w:t>Spisni</w:t>
      </w:r>
      <w:proofErr w:type="spellEnd"/>
      <w:r w:rsidRPr="004C27D4">
        <w:rPr>
          <w:color w:val="000000"/>
        </w:rPr>
        <w:t xml:space="preserve"> E. </w:t>
      </w:r>
      <w:proofErr w:type="spellStart"/>
      <w:r w:rsidRPr="004C27D4">
        <w:rPr>
          <w:color w:val="000000"/>
        </w:rPr>
        <w:t>Geraniol</w:t>
      </w:r>
      <w:proofErr w:type="spellEnd"/>
      <w:r w:rsidRPr="004C27D4">
        <w:rPr>
          <w:color w:val="000000"/>
        </w:rPr>
        <w:t xml:space="preserve"> </w:t>
      </w:r>
      <w:proofErr w:type="spellStart"/>
      <w:r w:rsidRPr="004C27D4">
        <w:rPr>
          <w:color w:val="000000"/>
        </w:rPr>
        <w:t>Pharmacokinetics</w:t>
      </w:r>
      <w:proofErr w:type="spellEnd"/>
      <w:r w:rsidRPr="004C27D4">
        <w:rPr>
          <w:color w:val="000000"/>
        </w:rPr>
        <w:t xml:space="preserve">, </w:t>
      </w:r>
      <w:proofErr w:type="spellStart"/>
      <w:r w:rsidRPr="004C27D4">
        <w:rPr>
          <w:color w:val="000000"/>
        </w:rPr>
        <w:t>Bioavailability</w:t>
      </w:r>
      <w:proofErr w:type="spellEnd"/>
      <w:r w:rsidRPr="004C27D4">
        <w:rPr>
          <w:color w:val="000000"/>
        </w:rPr>
        <w:t xml:space="preserve"> </w:t>
      </w:r>
      <w:proofErr w:type="spellStart"/>
      <w:r w:rsidRPr="004C27D4">
        <w:rPr>
          <w:color w:val="000000"/>
        </w:rPr>
        <w:t>and</w:t>
      </w:r>
      <w:proofErr w:type="spellEnd"/>
      <w:r w:rsidRPr="004C27D4">
        <w:rPr>
          <w:color w:val="000000"/>
        </w:rPr>
        <w:t xml:space="preserve"> </w:t>
      </w:r>
      <w:proofErr w:type="spellStart"/>
      <w:r w:rsidRPr="004C27D4">
        <w:rPr>
          <w:color w:val="000000"/>
        </w:rPr>
        <w:t>Its</w:t>
      </w:r>
      <w:proofErr w:type="spellEnd"/>
      <w:r w:rsidRPr="004C27D4">
        <w:rPr>
          <w:color w:val="000000"/>
        </w:rPr>
        <w:t xml:space="preserve"> </w:t>
      </w:r>
      <w:proofErr w:type="spellStart"/>
      <w:r w:rsidRPr="004C27D4">
        <w:rPr>
          <w:color w:val="000000"/>
        </w:rPr>
        <w:t>Multiple</w:t>
      </w:r>
      <w:proofErr w:type="spellEnd"/>
      <w:r w:rsidRPr="004C27D4">
        <w:rPr>
          <w:color w:val="000000"/>
        </w:rPr>
        <w:t xml:space="preserve"> </w:t>
      </w:r>
      <w:proofErr w:type="spellStart"/>
      <w:r w:rsidRPr="004C27D4">
        <w:rPr>
          <w:color w:val="000000"/>
        </w:rPr>
        <w:t>Effects</w:t>
      </w:r>
      <w:proofErr w:type="spellEnd"/>
      <w:r w:rsidRPr="004C27D4">
        <w:rPr>
          <w:color w:val="000000"/>
        </w:rPr>
        <w:t xml:space="preserve"> on </w:t>
      </w:r>
      <w:proofErr w:type="spellStart"/>
      <w:r w:rsidRPr="004C27D4">
        <w:rPr>
          <w:color w:val="000000"/>
        </w:rPr>
        <w:t>the</w:t>
      </w:r>
      <w:proofErr w:type="spellEnd"/>
      <w:r w:rsidRPr="004C27D4">
        <w:rPr>
          <w:color w:val="000000"/>
        </w:rPr>
        <w:t xml:space="preserve"> </w:t>
      </w:r>
      <w:proofErr w:type="spellStart"/>
      <w:r w:rsidRPr="004C27D4">
        <w:rPr>
          <w:color w:val="000000"/>
        </w:rPr>
        <w:t>Liver</w:t>
      </w:r>
      <w:proofErr w:type="spellEnd"/>
      <w:r w:rsidRPr="004C27D4">
        <w:rPr>
          <w:color w:val="000000"/>
        </w:rPr>
        <w:t xml:space="preserve"> </w:t>
      </w:r>
      <w:proofErr w:type="spellStart"/>
      <w:r w:rsidRPr="004C27D4">
        <w:rPr>
          <w:color w:val="000000"/>
        </w:rPr>
        <w:t>Antioxidant</w:t>
      </w:r>
      <w:proofErr w:type="spellEnd"/>
      <w:r w:rsidRPr="004C27D4">
        <w:rPr>
          <w:color w:val="000000"/>
        </w:rPr>
        <w:t xml:space="preserve"> </w:t>
      </w:r>
      <w:proofErr w:type="spellStart"/>
      <w:r w:rsidRPr="004C27D4">
        <w:rPr>
          <w:color w:val="000000"/>
        </w:rPr>
        <w:t>and</w:t>
      </w:r>
      <w:proofErr w:type="spellEnd"/>
      <w:r w:rsidRPr="004C27D4">
        <w:rPr>
          <w:color w:val="000000"/>
        </w:rPr>
        <w:t xml:space="preserve"> </w:t>
      </w:r>
      <w:proofErr w:type="spellStart"/>
      <w:r w:rsidRPr="004C27D4">
        <w:rPr>
          <w:color w:val="000000"/>
        </w:rPr>
        <w:t>Xenobiotic-</w:t>
      </w:r>
      <w:r w:rsidRPr="004C27D4">
        <w:rPr>
          <w:color w:val="000000"/>
        </w:rPr>
        <w:lastRenderedPageBreak/>
        <w:t>Metabolizing</w:t>
      </w:r>
      <w:proofErr w:type="spellEnd"/>
      <w:r w:rsidRPr="004C27D4">
        <w:rPr>
          <w:color w:val="000000"/>
        </w:rPr>
        <w:t xml:space="preserve"> </w:t>
      </w:r>
      <w:proofErr w:type="spellStart"/>
      <w:r w:rsidRPr="004C27D4">
        <w:rPr>
          <w:color w:val="000000"/>
        </w:rPr>
        <w:t>Enzymes</w:t>
      </w:r>
      <w:proofErr w:type="spellEnd"/>
      <w:r w:rsidRPr="004C27D4">
        <w:rPr>
          <w:color w:val="000000"/>
        </w:rPr>
        <w:t xml:space="preserve">. Front </w:t>
      </w:r>
      <w:proofErr w:type="spellStart"/>
      <w:r w:rsidRPr="004C27D4">
        <w:rPr>
          <w:color w:val="000000"/>
        </w:rPr>
        <w:t>Pharmacol</w:t>
      </w:r>
      <w:proofErr w:type="spellEnd"/>
      <w:r w:rsidRPr="004C27D4">
        <w:rPr>
          <w:color w:val="000000"/>
        </w:rPr>
        <w:t xml:space="preserve">. 2018 Jan </w:t>
      </w:r>
      <w:proofErr w:type="gramStart"/>
      <w:r w:rsidRPr="004C27D4">
        <w:rPr>
          <w:color w:val="000000"/>
        </w:rPr>
        <w:t>25;9:18</w:t>
      </w:r>
      <w:proofErr w:type="gramEnd"/>
      <w:r w:rsidRPr="004C27D4">
        <w:rPr>
          <w:color w:val="000000"/>
        </w:rPr>
        <w:t xml:space="preserve">. </w:t>
      </w:r>
      <w:proofErr w:type="spellStart"/>
      <w:r w:rsidRPr="004C27D4">
        <w:rPr>
          <w:color w:val="000000"/>
        </w:rPr>
        <w:t>doi</w:t>
      </w:r>
      <w:proofErr w:type="spellEnd"/>
      <w:r w:rsidRPr="004C27D4">
        <w:rPr>
          <w:color w:val="000000"/>
        </w:rPr>
        <w:t>: 10.3389/fphar.2018.00018. PMID: 29422862; PMCID: PMC5788896.</w:t>
      </w:r>
    </w:p>
    <w:p w14:paraId="3B17669D"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Price</w:t>
      </w:r>
      <w:proofErr w:type="spellEnd"/>
      <w:r w:rsidRPr="009A1789">
        <w:rPr>
          <w:color w:val="000000"/>
        </w:rPr>
        <w:t xml:space="preserve"> L, </w:t>
      </w:r>
      <w:proofErr w:type="spellStart"/>
      <w:r w:rsidRPr="009A1789">
        <w:rPr>
          <w:color w:val="000000"/>
        </w:rPr>
        <w:t>Price</w:t>
      </w:r>
      <w:proofErr w:type="spellEnd"/>
      <w:r w:rsidRPr="009A1789">
        <w:rPr>
          <w:color w:val="000000"/>
        </w:rPr>
        <w:t xml:space="preserve"> S. </w:t>
      </w:r>
      <w:proofErr w:type="spellStart"/>
      <w:r w:rsidRPr="009A1789">
        <w:rPr>
          <w:color w:val="000000"/>
        </w:rPr>
        <w:t>Aromatherapy</w:t>
      </w:r>
      <w:proofErr w:type="spellEnd"/>
      <w:r w:rsidRPr="009A1789">
        <w:rPr>
          <w:color w:val="000000"/>
        </w:rPr>
        <w:t xml:space="preserve"> </w:t>
      </w:r>
      <w:proofErr w:type="spellStart"/>
      <w:r w:rsidRPr="009A1789">
        <w:rPr>
          <w:color w:val="000000"/>
        </w:rPr>
        <w:t>for</w:t>
      </w:r>
      <w:proofErr w:type="spellEnd"/>
      <w:r w:rsidRPr="009A1789">
        <w:rPr>
          <w:color w:val="000000"/>
        </w:rPr>
        <w:t xml:space="preserve"> </w:t>
      </w:r>
      <w:proofErr w:type="spellStart"/>
      <w:r w:rsidRPr="009A1789">
        <w:rPr>
          <w:color w:val="000000"/>
        </w:rPr>
        <w:t>health</w:t>
      </w:r>
      <w:proofErr w:type="spellEnd"/>
      <w:r w:rsidRPr="009A1789">
        <w:rPr>
          <w:color w:val="000000"/>
        </w:rPr>
        <w:t xml:space="preserve"> </w:t>
      </w:r>
      <w:proofErr w:type="spellStart"/>
      <w:r w:rsidRPr="009A1789">
        <w:rPr>
          <w:color w:val="000000"/>
        </w:rPr>
        <w:t>professionals</w:t>
      </w:r>
      <w:proofErr w:type="spellEnd"/>
      <w:r w:rsidRPr="009A1789">
        <w:rPr>
          <w:color w:val="000000"/>
        </w:rPr>
        <w:t xml:space="preserve">. </w:t>
      </w:r>
      <w:proofErr w:type="spellStart"/>
      <w:r w:rsidRPr="009A1789">
        <w:rPr>
          <w:color w:val="000000"/>
        </w:rPr>
        <w:t>Elsevier</w:t>
      </w:r>
      <w:proofErr w:type="spellEnd"/>
      <w:r w:rsidRPr="009A1789">
        <w:rPr>
          <w:color w:val="000000"/>
        </w:rPr>
        <w:t>; 2007.</w:t>
      </w:r>
    </w:p>
    <w:p w14:paraId="0BC864EA"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Raina</w:t>
      </w:r>
      <w:proofErr w:type="spellEnd"/>
      <w:r w:rsidRPr="009A1789">
        <w:rPr>
          <w:color w:val="000000"/>
        </w:rPr>
        <w:t xml:space="preserve"> VK, </w:t>
      </w:r>
      <w:proofErr w:type="spellStart"/>
      <w:r w:rsidRPr="009A1789">
        <w:rPr>
          <w:color w:val="000000"/>
        </w:rPr>
        <w:t>Srivastava</w:t>
      </w:r>
      <w:proofErr w:type="spellEnd"/>
      <w:r w:rsidRPr="009A1789">
        <w:rPr>
          <w:color w:val="000000"/>
        </w:rPr>
        <w:t xml:space="preserve"> SK, et al. </w:t>
      </w:r>
      <w:proofErr w:type="spellStart"/>
      <w:r w:rsidRPr="009A1789">
        <w:rPr>
          <w:color w:val="000000"/>
        </w:rPr>
        <w:t>Essential</w:t>
      </w:r>
      <w:proofErr w:type="spellEnd"/>
      <w:r w:rsidRPr="009A1789">
        <w:rPr>
          <w:color w:val="000000"/>
        </w:rPr>
        <w:t xml:space="preserve"> </w:t>
      </w:r>
      <w:proofErr w:type="spellStart"/>
      <w:r w:rsidRPr="009A1789">
        <w:rPr>
          <w:color w:val="000000"/>
        </w:rPr>
        <w:t>oil</w:t>
      </w:r>
      <w:proofErr w:type="spellEnd"/>
      <w:r w:rsidRPr="009A1789">
        <w:rPr>
          <w:color w:val="000000"/>
        </w:rPr>
        <w:t xml:space="preserve"> </w:t>
      </w:r>
      <w:proofErr w:type="spellStart"/>
      <w:r w:rsidRPr="009A1789">
        <w:rPr>
          <w:color w:val="000000"/>
        </w:rPr>
        <w:t>composition</w:t>
      </w:r>
      <w:proofErr w:type="spellEnd"/>
      <w:r w:rsidRPr="009A1789">
        <w:rPr>
          <w:color w:val="000000"/>
        </w:rPr>
        <w:t xml:space="preserve"> of </w:t>
      </w:r>
      <w:proofErr w:type="spellStart"/>
      <w:r w:rsidRPr="009A1789">
        <w:rPr>
          <w:color w:val="000000"/>
        </w:rPr>
        <w:t>Cymbopogon</w:t>
      </w:r>
      <w:proofErr w:type="spellEnd"/>
      <w:r w:rsidRPr="009A1789">
        <w:rPr>
          <w:color w:val="000000"/>
        </w:rPr>
        <w:t xml:space="preserve"> </w:t>
      </w:r>
      <w:proofErr w:type="spellStart"/>
      <w:r w:rsidRPr="009A1789">
        <w:rPr>
          <w:color w:val="000000"/>
        </w:rPr>
        <w:t>martinii</w:t>
      </w:r>
      <w:proofErr w:type="spellEnd"/>
      <w:r w:rsidRPr="009A1789">
        <w:rPr>
          <w:color w:val="000000"/>
        </w:rPr>
        <w:t xml:space="preserve">. </w:t>
      </w:r>
      <w:proofErr w:type="spellStart"/>
      <w:r w:rsidRPr="009A1789">
        <w:rPr>
          <w:color w:val="000000"/>
        </w:rPr>
        <w:t>Flavour</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Fragrance</w:t>
      </w:r>
      <w:proofErr w:type="spellEnd"/>
      <w:r w:rsidRPr="009A1789">
        <w:rPr>
          <w:color w:val="000000"/>
        </w:rPr>
        <w:t xml:space="preserve"> </w:t>
      </w:r>
      <w:proofErr w:type="spellStart"/>
      <w:r w:rsidRPr="009A1789">
        <w:rPr>
          <w:color w:val="000000"/>
        </w:rPr>
        <w:t>Journal</w:t>
      </w:r>
      <w:proofErr w:type="spellEnd"/>
      <w:r w:rsidRPr="009A1789">
        <w:rPr>
          <w:color w:val="000000"/>
        </w:rPr>
        <w:t>. 2003;18(4):312–315.</w:t>
      </w:r>
    </w:p>
    <w:p w14:paraId="21D40A40"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Ricci</w:t>
      </w:r>
      <w:proofErr w:type="spellEnd"/>
      <w:r w:rsidRPr="009A1789">
        <w:rPr>
          <w:color w:val="000000"/>
        </w:rPr>
        <w:t xml:space="preserve"> C, </w:t>
      </w:r>
      <w:proofErr w:type="spellStart"/>
      <w:r w:rsidRPr="009A1789">
        <w:rPr>
          <w:color w:val="000000"/>
        </w:rPr>
        <w:t>Rizzello</w:t>
      </w:r>
      <w:proofErr w:type="spellEnd"/>
      <w:r w:rsidRPr="009A1789">
        <w:rPr>
          <w:color w:val="000000"/>
        </w:rPr>
        <w:t xml:space="preserve"> F, et al. </w:t>
      </w:r>
      <w:proofErr w:type="spellStart"/>
      <w:r w:rsidRPr="009A1789">
        <w:rPr>
          <w:color w:val="000000"/>
        </w:rPr>
        <w:t>Geraniol</w:t>
      </w:r>
      <w:proofErr w:type="spellEnd"/>
      <w:r w:rsidRPr="009A1789">
        <w:rPr>
          <w:color w:val="000000"/>
        </w:rPr>
        <w:t xml:space="preserve"> </w:t>
      </w:r>
      <w:proofErr w:type="spellStart"/>
      <w:r w:rsidRPr="009A1789">
        <w:rPr>
          <w:color w:val="000000"/>
        </w:rPr>
        <w:t>treatment</w:t>
      </w:r>
      <w:proofErr w:type="spellEnd"/>
      <w:r w:rsidRPr="009A1789">
        <w:rPr>
          <w:color w:val="000000"/>
        </w:rPr>
        <w:t xml:space="preserve"> </w:t>
      </w:r>
      <w:proofErr w:type="spellStart"/>
      <w:r w:rsidRPr="009A1789">
        <w:rPr>
          <w:color w:val="000000"/>
        </w:rPr>
        <w:t>for</w:t>
      </w:r>
      <w:proofErr w:type="spellEnd"/>
      <w:r w:rsidRPr="009A1789">
        <w:rPr>
          <w:color w:val="000000"/>
        </w:rPr>
        <w:t xml:space="preserve"> IBS. </w:t>
      </w:r>
      <w:proofErr w:type="spellStart"/>
      <w:r w:rsidRPr="009A1789">
        <w:rPr>
          <w:color w:val="000000"/>
        </w:rPr>
        <w:t>Nutrients</w:t>
      </w:r>
      <w:proofErr w:type="spellEnd"/>
      <w:r w:rsidRPr="009A1789">
        <w:rPr>
          <w:color w:val="000000"/>
        </w:rPr>
        <w:t>. 2022;14(19):4208.</w:t>
      </w:r>
    </w:p>
    <w:p w14:paraId="5E99F74A"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Rizzello</w:t>
      </w:r>
      <w:proofErr w:type="spellEnd"/>
      <w:r w:rsidRPr="009A1789">
        <w:rPr>
          <w:color w:val="000000"/>
        </w:rPr>
        <w:t xml:space="preserve"> F, </w:t>
      </w:r>
      <w:proofErr w:type="spellStart"/>
      <w:r w:rsidRPr="009A1789">
        <w:rPr>
          <w:color w:val="000000"/>
        </w:rPr>
        <w:t>Ricci</w:t>
      </w:r>
      <w:proofErr w:type="spellEnd"/>
      <w:r w:rsidRPr="009A1789">
        <w:rPr>
          <w:color w:val="000000"/>
        </w:rPr>
        <w:t xml:space="preserve"> C, et al. </w:t>
      </w:r>
      <w:proofErr w:type="spellStart"/>
      <w:r w:rsidRPr="009A1789">
        <w:rPr>
          <w:color w:val="000000"/>
        </w:rPr>
        <w:t>Geraniol</w:t>
      </w:r>
      <w:proofErr w:type="spellEnd"/>
      <w:r w:rsidRPr="009A1789">
        <w:rPr>
          <w:color w:val="000000"/>
        </w:rPr>
        <w:t xml:space="preserve"> in IBS </w:t>
      </w:r>
      <w:proofErr w:type="spellStart"/>
      <w:r w:rsidRPr="009A1789">
        <w:rPr>
          <w:color w:val="000000"/>
        </w:rPr>
        <w:t>patients</w:t>
      </w:r>
      <w:proofErr w:type="spellEnd"/>
      <w:r w:rsidRPr="009A1789">
        <w:rPr>
          <w:color w:val="000000"/>
        </w:rPr>
        <w:t xml:space="preserve">. BMC </w:t>
      </w:r>
      <w:proofErr w:type="spellStart"/>
      <w:r w:rsidRPr="009A1789">
        <w:rPr>
          <w:color w:val="000000"/>
        </w:rPr>
        <w:t>Complementary</w:t>
      </w:r>
      <w:proofErr w:type="spellEnd"/>
      <w:r w:rsidRPr="009A1789">
        <w:rPr>
          <w:color w:val="000000"/>
        </w:rPr>
        <w:t xml:space="preserve"> </w:t>
      </w:r>
      <w:proofErr w:type="spellStart"/>
      <w:r w:rsidRPr="009A1789">
        <w:rPr>
          <w:color w:val="000000"/>
        </w:rPr>
        <w:t>Medicine</w:t>
      </w:r>
      <w:proofErr w:type="spellEnd"/>
      <w:r w:rsidRPr="009A1789">
        <w:rPr>
          <w:color w:val="000000"/>
        </w:rPr>
        <w:t xml:space="preserve">. </w:t>
      </w:r>
      <w:proofErr w:type="gramStart"/>
      <w:r w:rsidRPr="009A1789">
        <w:rPr>
          <w:color w:val="000000"/>
        </w:rPr>
        <w:t>2018;18:338</w:t>
      </w:r>
      <w:proofErr w:type="gramEnd"/>
      <w:r w:rsidRPr="009A1789">
        <w:rPr>
          <w:color w:val="000000"/>
        </w:rPr>
        <w:t>.</w:t>
      </w:r>
    </w:p>
    <w:p w14:paraId="53B0BB02" w14:textId="77777777" w:rsidR="009A1789" w:rsidRPr="009A1789" w:rsidRDefault="009A1789" w:rsidP="009C516A">
      <w:pPr>
        <w:pStyle w:val="NormalWeb"/>
        <w:spacing w:before="120" w:after="120" w:line="276" w:lineRule="auto"/>
        <w:ind w:left="709" w:hanging="709"/>
        <w:jc w:val="both"/>
        <w:rPr>
          <w:color w:val="000000"/>
        </w:rPr>
      </w:pPr>
      <w:r w:rsidRPr="009A1789">
        <w:rPr>
          <w:color w:val="000000"/>
        </w:rPr>
        <w:t xml:space="preserve">RUOKAVIRASTO. </w:t>
      </w:r>
      <w:proofErr w:type="spellStart"/>
      <w:r w:rsidRPr="009A1789">
        <w:rPr>
          <w:color w:val="000000"/>
        </w:rPr>
        <w:t>The</w:t>
      </w:r>
      <w:proofErr w:type="spellEnd"/>
      <w:r w:rsidRPr="009A1789">
        <w:rPr>
          <w:color w:val="000000"/>
        </w:rPr>
        <w:t xml:space="preserve"> </w:t>
      </w:r>
      <w:proofErr w:type="spellStart"/>
      <w:r w:rsidRPr="009A1789">
        <w:rPr>
          <w:color w:val="000000"/>
        </w:rPr>
        <w:t>use</w:t>
      </w:r>
      <w:proofErr w:type="spellEnd"/>
      <w:r w:rsidRPr="009A1789">
        <w:rPr>
          <w:color w:val="000000"/>
        </w:rPr>
        <w:t xml:space="preserve"> of </w:t>
      </w:r>
      <w:proofErr w:type="spellStart"/>
      <w:r w:rsidRPr="009A1789">
        <w:rPr>
          <w:color w:val="000000"/>
        </w:rPr>
        <w:t>Finnish</w:t>
      </w:r>
      <w:proofErr w:type="spellEnd"/>
      <w:r w:rsidRPr="009A1789">
        <w:rPr>
          <w:color w:val="000000"/>
        </w:rPr>
        <w:t xml:space="preserve"> </w:t>
      </w:r>
      <w:proofErr w:type="spellStart"/>
      <w:r w:rsidRPr="009A1789">
        <w:rPr>
          <w:color w:val="000000"/>
        </w:rPr>
        <w:t>wild</w:t>
      </w:r>
      <w:proofErr w:type="spellEnd"/>
      <w:r w:rsidRPr="009A1789">
        <w:rPr>
          <w:color w:val="000000"/>
        </w:rPr>
        <w:t xml:space="preserve"> </w:t>
      </w:r>
      <w:proofErr w:type="spellStart"/>
      <w:r w:rsidRPr="009A1789">
        <w:rPr>
          <w:color w:val="000000"/>
        </w:rPr>
        <w:t>plants</w:t>
      </w:r>
      <w:proofErr w:type="spellEnd"/>
      <w:r w:rsidRPr="009A1789">
        <w:rPr>
          <w:color w:val="000000"/>
        </w:rPr>
        <w:t xml:space="preserve"> as </w:t>
      </w:r>
      <w:proofErr w:type="spellStart"/>
      <w:r w:rsidRPr="009A1789">
        <w:rPr>
          <w:color w:val="000000"/>
        </w:rPr>
        <w:t>food</w:t>
      </w:r>
      <w:proofErr w:type="spellEnd"/>
      <w:r w:rsidRPr="009A1789">
        <w:rPr>
          <w:color w:val="000000"/>
        </w:rPr>
        <w:t xml:space="preserve">. </w:t>
      </w:r>
      <w:proofErr w:type="spellStart"/>
      <w:r w:rsidRPr="009A1789">
        <w:rPr>
          <w:color w:val="000000"/>
        </w:rPr>
        <w:t>Available</w:t>
      </w:r>
      <w:proofErr w:type="spellEnd"/>
      <w:r w:rsidRPr="009A1789">
        <w:rPr>
          <w:color w:val="000000"/>
        </w:rPr>
        <w:t xml:space="preserve"> </w:t>
      </w:r>
      <w:proofErr w:type="spellStart"/>
      <w:r w:rsidRPr="009A1789">
        <w:rPr>
          <w:color w:val="000000"/>
        </w:rPr>
        <w:t>from</w:t>
      </w:r>
      <w:proofErr w:type="spellEnd"/>
      <w:r w:rsidRPr="009A1789">
        <w:rPr>
          <w:color w:val="000000"/>
        </w:rPr>
        <w:t>: https://www.ruokavirasto.fi</w:t>
      </w:r>
    </w:p>
    <w:p w14:paraId="479CF845" w14:textId="0ADF37EE" w:rsidR="00BA4560" w:rsidRDefault="00BA4560" w:rsidP="009C516A">
      <w:pPr>
        <w:pStyle w:val="NormalWeb"/>
        <w:spacing w:before="120" w:after="120" w:line="276" w:lineRule="auto"/>
        <w:ind w:left="709" w:hanging="709"/>
        <w:jc w:val="both"/>
        <w:rPr>
          <w:color w:val="000000"/>
        </w:rPr>
      </w:pPr>
      <w:proofErr w:type="spellStart"/>
      <w:r>
        <w:rPr>
          <w:color w:val="000000"/>
        </w:rPr>
        <w:t>Sawada</w:t>
      </w:r>
      <w:proofErr w:type="spellEnd"/>
      <w:r>
        <w:rPr>
          <w:color w:val="000000"/>
        </w:rPr>
        <w:t xml:space="preserve"> S, </w:t>
      </w:r>
      <w:proofErr w:type="spellStart"/>
      <w:r>
        <w:rPr>
          <w:color w:val="000000"/>
        </w:rPr>
        <w:t>Okano</w:t>
      </w:r>
      <w:proofErr w:type="spellEnd"/>
      <w:r>
        <w:rPr>
          <w:color w:val="000000"/>
        </w:rPr>
        <w:t xml:space="preserve"> J, </w:t>
      </w:r>
      <w:proofErr w:type="spellStart"/>
      <w:r>
        <w:rPr>
          <w:color w:val="000000"/>
        </w:rPr>
        <w:t>Imamoto</w:t>
      </w:r>
      <w:proofErr w:type="spellEnd"/>
      <w:r>
        <w:rPr>
          <w:color w:val="000000"/>
        </w:rPr>
        <w:t xml:space="preserve"> R, </w:t>
      </w:r>
      <w:proofErr w:type="spellStart"/>
      <w:r>
        <w:rPr>
          <w:color w:val="000000"/>
        </w:rPr>
        <w:t>Yasunaka</w:t>
      </w:r>
      <w:proofErr w:type="spellEnd"/>
      <w:r>
        <w:rPr>
          <w:color w:val="000000"/>
        </w:rPr>
        <w:t xml:space="preserve"> Y, </w:t>
      </w:r>
      <w:proofErr w:type="spellStart"/>
      <w:r>
        <w:rPr>
          <w:color w:val="000000"/>
        </w:rPr>
        <w:t>Abe</w:t>
      </w:r>
      <w:proofErr w:type="spellEnd"/>
      <w:r>
        <w:rPr>
          <w:color w:val="000000"/>
        </w:rPr>
        <w:t xml:space="preserve"> R, Koda M, </w:t>
      </w:r>
      <w:proofErr w:type="spellStart"/>
      <w:r>
        <w:rPr>
          <w:color w:val="000000"/>
        </w:rPr>
        <w:t>Murawaki</w:t>
      </w:r>
      <w:proofErr w:type="spellEnd"/>
      <w:r>
        <w:rPr>
          <w:color w:val="000000"/>
        </w:rPr>
        <w:t xml:space="preserve"> Y, </w:t>
      </w:r>
      <w:proofErr w:type="spellStart"/>
      <w:r>
        <w:rPr>
          <w:color w:val="000000"/>
        </w:rPr>
        <w:t>Isomoto</w:t>
      </w:r>
      <w:proofErr w:type="spellEnd"/>
      <w:r>
        <w:rPr>
          <w:color w:val="000000"/>
        </w:rPr>
        <w:t xml:space="preserve"> H. </w:t>
      </w:r>
      <w:proofErr w:type="spellStart"/>
      <w:r>
        <w:rPr>
          <w:color w:val="000000"/>
        </w:rPr>
        <w:t>Preventive</w:t>
      </w:r>
      <w:proofErr w:type="spellEnd"/>
      <w:r>
        <w:rPr>
          <w:color w:val="000000"/>
        </w:rPr>
        <w:t xml:space="preserve"> </w:t>
      </w:r>
      <w:proofErr w:type="spellStart"/>
      <w:r>
        <w:rPr>
          <w:color w:val="000000"/>
        </w:rPr>
        <w:t>Effect</w:t>
      </w:r>
      <w:proofErr w:type="spellEnd"/>
      <w:r>
        <w:rPr>
          <w:color w:val="000000"/>
        </w:rPr>
        <w:t xml:space="preserve"> of </w:t>
      </w:r>
      <w:proofErr w:type="spellStart"/>
      <w:r>
        <w:rPr>
          <w:color w:val="000000"/>
        </w:rPr>
        <w:t>Geraniol</w:t>
      </w:r>
      <w:proofErr w:type="spellEnd"/>
      <w:r>
        <w:rPr>
          <w:color w:val="000000"/>
        </w:rPr>
        <w:t xml:space="preserve"> on </w:t>
      </w:r>
      <w:proofErr w:type="spellStart"/>
      <w:r>
        <w:rPr>
          <w:color w:val="000000"/>
        </w:rPr>
        <w:t>Diethylnitrosamine-Induced</w:t>
      </w:r>
      <w:proofErr w:type="spellEnd"/>
      <w:r>
        <w:rPr>
          <w:color w:val="000000"/>
        </w:rPr>
        <w:t xml:space="preserve"> </w:t>
      </w:r>
      <w:proofErr w:type="spellStart"/>
      <w:r>
        <w:rPr>
          <w:color w:val="000000"/>
        </w:rPr>
        <w:t>Hepatocarcinogenesis</w:t>
      </w:r>
      <w:proofErr w:type="spellEnd"/>
      <w:r>
        <w:rPr>
          <w:color w:val="000000"/>
        </w:rPr>
        <w:t xml:space="preserve"> in </w:t>
      </w:r>
      <w:proofErr w:type="spellStart"/>
      <w:r>
        <w:rPr>
          <w:color w:val="000000"/>
        </w:rPr>
        <w:t>Rats</w:t>
      </w:r>
      <w:proofErr w:type="spellEnd"/>
      <w:r>
        <w:rPr>
          <w:color w:val="000000"/>
        </w:rPr>
        <w:t xml:space="preserve">. </w:t>
      </w:r>
      <w:proofErr w:type="spellStart"/>
      <w:r>
        <w:rPr>
          <w:color w:val="000000"/>
        </w:rPr>
        <w:t>Yonago</w:t>
      </w:r>
      <w:proofErr w:type="spellEnd"/>
      <w:r>
        <w:rPr>
          <w:color w:val="000000"/>
        </w:rPr>
        <w:t xml:space="preserve"> </w:t>
      </w:r>
      <w:proofErr w:type="spellStart"/>
      <w:r>
        <w:rPr>
          <w:color w:val="000000"/>
        </w:rPr>
        <w:t>Acta</w:t>
      </w:r>
      <w:proofErr w:type="spellEnd"/>
      <w:r>
        <w:rPr>
          <w:color w:val="000000"/>
        </w:rPr>
        <w:t xml:space="preserve"> </w:t>
      </w:r>
      <w:proofErr w:type="spellStart"/>
      <w:r>
        <w:rPr>
          <w:color w:val="000000"/>
        </w:rPr>
        <w:t>Med</w:t>
      </w:r>
      <w:proofErr w:type="spellEnd"/>
      <w:r>
        <w:rPr>
          <w:color w:val="000000"/>
        </w:rPr>
        <w:t xml:space="preserve">. 2016 Mar;59(1):37-43. </w:t>
      </w:r>
      <w:proofErr w:type="spellStart"/>
      <w:r>
        <w:rPr>
          <w:color w:val="000000"/>
        </w:rPr>
        <w:t>Epub</w:t>
      </w:r>
      <w:proofErr w:type="spellEnd"/>
      <w:r>
        <w:rPr>
          <w:color w:val="000000"/>
        </w:rPr>
        <w:t xml:space="preserve"> 2016 </w:t>
      </w:r>
      <w:proofErr w:type="spellStart"/>
      <w:r>
        <w:rPr>
          <w:color w:val="000000"/>
        </w:rPr>
        <w:t>Apr</w:t>
      </w:r>
      <w:proofErr w:type="spellEnd"/>
      <w:r>
        <w:rPr>
          <w:color w:val="000000"/>
        </w:rPr>
        <w:t xml:space="preserve"> 1. PMID: 27046949; PMCID: PMC4816747.</w:t>
      </w:r>
    </w:p>
    <w:p w14:paraId="3E030F7F" w14:textId="0F1C3153" w:rsidR="009A1789" w:rsidRPr="009A1789" w:rsidRDefault="009A1789" w:rsidP="009C516A">
      <w:pPr>
        <w:pStyle w:val="NormalWeb"/>
        <w:spacing w:before="120" w:after="120" w:line="276" w:lineRule="auto"/>
        <w:ind w:left="709" w:hanging="709"/>
        <w:jc w:val="both"/>
        <w:rPr>
          <w:color w:val="000000"/>
        </w:rPr>
      </w:pPr>
      <w:r w:rsidRPr="009A1789">
        <w:rPr>
          <w:color w:val="000000"/>
        </w:rPr>
        <w:t xml:space="preserve">Sen S, Israr M, et al. </w:t>
      </w:r>
      <w:proofErr w:type="spellStart"/>
      <w:r w:rsidRPr="009A1789">
        <w:rPr>
          <w:color w:val="000000"/>
        </w:rPr>
        <w:t>Industrial</w:t>
      </w:r>
      <w:proofErr w:type="spellEnd"/>
      <w:r w:rsidRPr="009A1789">
        <w:rPr>
          <w:color w:val="000000"/>
        </w:rPr>
        <w:t xml:space="preserve"> </w:t>
      </w:r>
      <w:proofErr w:type="spellStart"/>
      <w:r w:rsidRPr="009A1789">
        <w:rPr>
          <w:color w:val="000000"/>
        </w:rPr>
        <w:t>perspectives</w:t>
      </w:r>
      <w:proofErr w:type="spellEnd"/>
      <w:r w:rsidRPr="009A1789">
        <w:rPr>
          <w:color w:val="000000"/>
        </w:rPr>
        <w:t xml:space="preserve"> of </w:t>
      </w:r>
      <w:proofErr w:type="spellStart"/>
      <w:r w:rsidRPr="009A1789">
        <w:rPr>
          <w:color w:val="000000"/>
        </w:rPr>
        <w:t>Cymbopogon</w:t>
      </w:r>
      <w:proofErr w:type="spellEnd"/>
      <w:r w:rsidRPr="009A1789">
        <w:rPr>
          <w:color w:val="000000"/>
        </w:rPr>
        <w:t xml:space="preserve"> martini. South </w:t>
      </w:r>
      <w:proofErr w:type="spellStart"/>
      <w:r w:rsidRPr="009A1789">
        <w:rPr>
          <w:color w:val="000000"/>
        </w:rPr>
        <w:t>African</w:t>
      </w:r>
      <w:proofErr w:type="spellEnd"/>
      <w:r w:rsidRPr="009A1789">
        <w:rPr>
          <w:color w:val="000000"/>
        </w:rPr>
        <w:t xml:space="preserve"> </w:t>
      </w:r>
      <w:proofErr w:type="spellStart"/>
      <w:r w:rsidRPr="009A1789">
        <w:rPr>
          <w:color w:val="000000"/>
        </w:rPr>
        <w:t>Journal</w:t>
      </w:r>
      <w:proofErr w:type="spellEnd"/>
      <w:r w:rsidRPr="009A1789">
        <w:rPr>
          <w:color w:val="000000"/>
        </w:rPr>
        <w:t xml:space="preserve"> of </w:t>
      </w:r>
      <w:proofErr w:type="spellStart"/>
      <w:r w:rsidRPr="009A1789">
        <w:rPr>
          <w:color w:val="000000"/>
        </w:rPr>
        <w:t>Botany</w:t>
      </w:r>
      <w:proofErr w:type="spellEnd"/>
      <w:r w:rsidRPr="009A1789">
        <w:rPr>
          <w:color w:val="000000"/>
        </w:rPr>
        <w:t xml:space="preserve">. </w:t>
      </w:r>
      <w:proofErr w:type="gramStart"/>
      <w:r w:rsidRPr="009A1789">
        <w:rPr>
          <w:color w:val="000000"/>
        </w:rPr>
        <w:t>2023;158:277</w:t>
      </w:r>
      <w:proofErr w:type="gramEnd"/>
      <w:r w:rsidRPr="009A1789">
        <w:rPr>
          <w:color w:val="000000"/>
        </w:rPr>
        <w:t>–291.</w:t>
      </w:r>
    </w:p>
    <w:p w14:paraId="167657D3"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Sharma</w:t>
      </w:r>
      <w:proofErr w:type="spellEnd"/>
      <w:r w:rsidRPr="009A1789">
        <w:rPr>
          <w:color w:val="000000"/>
        </w:rPr>
        <w:t xml:space="preserve"> AK, Kumar A, Kumar R. </w:t>
      </w:r>
      <w:proofErr w:type="spellStart"/>
      <w:r w:rsidRPr="009A1789">
        <w:rPr>
          <w:color w:val="000000"/>
        </w:rPr>
        <w:t>Chemical</w:t>
      </w:r>
      <w:proofErr w:type="spellEnd"/>
      <w:r w:rsidRPr="009A1789">
        <w:rPr>
          <w:color w:val="000000"/>
        </w:rPr>
        <w:t xml:space="preserve"> </w:t>
      </w:r>
      <w:proofErr w:type="spellStart"/>
      <w:r w:rsidRPr="009A1789">
        <w:rPr>
          <w:color w:val="000000"/>
        </w:rPr>
        <w:t>composition</w:t>
      </w:r>
      <w:proofErr w:type="spellEnd"/>
      <w:r w:rsidRPr="009A1789">
        <w:rPr>
          <w:color w:val="000000"/>
        </w:rPr>
        <w:t xml:space="preserve"> of </w:t>
      </w:r>
      <w:proofErr w:type="spellStart"/>
      <w:r w:rsidRPr="009A1789">
        <w:rPr>
          <w:color w:val="000000"/>
        </w:rPr>
        <w:t>palmarosa</w:t>
      </w:r>
      <w:proofErr w:type="spellEnd"/>
      <w:r w:rsidRPr="009A1789">
        <w:rPr>
          <w:color w:val="000000"/>
        </w:rPr>
        <w:t xml:space="preserve"> </w:t>
      </w:r>
      <w:proofErr w:type="spellStart"/>
      <w:r w:rsidRPr="009A1789">
        <w:rPr>
          <w:color w:val="000000"/>
        </w:rPr>
        <w:t>oil</w:t>
      </w:r>
      <w:proofErr w:type="spellEnd"/>
      <w:r w:rsidRPr="009A1789">
        <w:rPr>
          <w:color w:val="000000"/>
        </w:rPr>
        <w:t xml:space="preserve">. New </w:t>
      </w:r>
      <w:proofErr w:type="spellStart"/>
      <w:r w:rsidRPr="009A1789">
        <w:rPr>
          <w:color w:val="000000"/>
        </w:rPr>
        <w:t>Zealand</w:t>
      </w:r>
      <w:proofErr w:type="spellEnd"/>
      <w:r w:rsidRPr="009A1789">
        <w:rPr>
          <w:color w:val="000000"/>
        </w:rPr>
        <w:t xml:space="preserve"> </w:t>
      </w:r>
      <w:proofErr w:type="spellStart"/>
      <w:r w:rsidRPr="009A1789">
        <w:rPr>
          <w:color w:val="000000"/>
        </w:rPr>
        <w:t>Journal</w:t>
      </w:r>
      <w:proofErr w:type="spellEnd"/>
      <w:r w:rsidRPr="009A1789">
        <w:rPr>
          <w:color w:val="000000"/>
        </w:rPr>
        <w:t xml:space="preserve"> of </w:t>
      </w:r>
      <w:proofErr w:type="spellStart"/>
      <w:r w:rsidRPr="009A1789">
        <w:rPr>
          <w:color w:val="000000"/>
        </w:rPr>
        <w:t>Crop</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Horticultural</w:t>
      </w:r>
      <w:proofErr w:type="spellEnd"/>
      <w:r w:rsidRPr="009A1789">
        <w:rPr>
          <w:color w:val="000000"/>
        </w:rPr>
        <w:t xml:space="preserve"> </w:t>
      </w:r>
      <w:proofErr w:type="spellStart"/>
      <w:r w:rsidRPr="009A1789">
        <w:rPr>
          <w:color w:val="000000"/>
        </w:rPr>
        <w:t>Science</w:t>
      </w:r>
      <w:proofErr w:type="spellEnd"/>
      <w:r w:rsidRPr="009A1789">
        <w:rPr>
          <w:color w:val="000000"/>
        </w:rPr>
        <w:t>. 2026;54(1</w:t>
      </w:r>
      <w:proofErr w:type="gramStart"/>
      <w:r w:rsidRPr="009A1789">
        <w:rPr>
          <w:color w:val="000000"/>
        </w:rPr>
        <w:t>):e</w:t>
      </w:r>
      <w:proofErr w:type="gramEnd"/>
      <w:r w:rsidRPr="009A1789">
        <w:rPr>
          <w:color w:val="000000"/>
        </w:rPr>
        <w:t>70076.</w:t>
      </w:r>
    </w:p>
    <w:p w14:paraId="55140794"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Sinha</w:t>
      </w:r>
      <w:proofErr w:type="spellEnd"/>
      <w:r w:rsidRPr="009A1789">
        <w:rPr>
          <w:color w:val="000000"/>
        </w:rPr>
        <w:t xml:space="preserve"> S, </w:t>
      </w:r>
      <w:proofErr w:type="spellStart"/>
      <w:r w:rsidRPr="009A1789">
        <w:rPr>
          <w:color w:val="000000"/>
        </w:rPr>
        <w:t>Biswas</w:t>
      </w:r>
      <w:proofErr w:type="spellEnd"/>
      <w:r w:rsidRPr="009A1789">
        <w:rPr>
          <w:color w:val="000000"/>
        </w:rPr>
        <w:t xml:space="preserve"> D, et al. </w:t>
      </w:r>
      <w:proofErr w:type="spellStart"/>
      <w:r w:rsidRPr="009A1789">
        <w:rPr>
          <w:color w:val="000000"/>
        </w:rPr>
        <w:t>Antigenotoxic</w:t>
      </w:r>
      <w:proofErr w:type="spellEnd"/>
      <w:r w:rsidRPr="009A1789">
        <w:rPr>
          <w:color w:val="000000"/>
        </w:rPr>
        <w:t xml:space="preserve"> </w:t>
      </w:r>
      <w:proofErr w:type="spellStart"/>
      <w:r w:rsidRPr="009A1789">
        <w:rPr>
          <w:color w:val="000000"/>
        </w:rPr>
        <w:t>activities</w:t>
      </w:r>
      <w:proofErr w:type="spellEnd"/>
      <w:r w:rsidRPr="009A1789">
        <w:rPr>
          <w:color w:val="000000"/>
        </w:rPr>
        <w:t xml:space="preserve"> of </w:t>
      </w:r>
      <w:proofErr w:type="spellStart"/>
      <w:r w:rsidRPr="009A1789">
        <w:rPr>
          <w:color w:val="000000"/>
        </w:rPr>
        <w:t>essential</w:t>
      </w:r>
      <w:proofErr w:type="spellEnd"/>
      <w:r w:rsidRPr="009A1789">
        <w:rPr>
          <w:color w:val="000000"/>
        </w:rPr>
        <w:t xml:space="preserve"> </w:t>
      </w:r>
      <w:proofErr w:type="spellStart"/>
      <w:r w:rsidRPr="009A1789">
        <w:rPr>
          <w:color w:val="000000"/>
        </w:rPr>
        <w:t>oils</w:t>
      </w:r>
      <w:proofErr w:type="spellEnd"/>
      <w:r w:rsidRPr="009A1789">
        <w:rPr>
          <w:color w:val="000000"/>
        </w:rPr>
        <w:t xml:space="preserve">. </w:t>
      </w:r>
      <w:proofErr w:type="spellStart"/>
      <w:r w:rsidRPr="009A1789">
        <w:rPr>
          <w:color w:val="000000"/>
        </w:rPr>
        <w:t>Journal</w:t>
      </w:r>
      <w:proofErr w:type="spellEnd"/>
      <w:r w:rsidRPr="009A1789">
        <w:rPr>
          <w:color w:val="000000"/>
        </w:rPr>
        <w:t xml:space="preserve"> of </w:t>
      </w:r>
      <w:proofErr w:type="spellStart"/>
      <w:r w:rsidRPr="009A1789">
        <w:rPr>
          <w:color w:val="000000"/>
        </w:rPr>
        <w:t>Ethnopharmacology</w:t>
      </w:r>
      <w:proofErr w:type="spellEnd"/>
      <w:r w:rsidRPr="009A1789">
        <w:rPr>
          <w:color w:val="000000"/>
        </w:rPr>
        <w:t>. 2011;137(3):1521–1527.</w:t>
      </w:r>
    </w:p>
    <w:p w14:paraId="7C738F01" w14:textId="3F88C28C" w:rsidR="009A1789" w:rsidRDefault="009A1789" w:rsidP="009C516A">
      <w:pPr>
        <w:pStyle w:val="NormalWeb"/>
        <w:spacing w:before="120" w:after="120" w:line="276" w:lineRule="auto"/>
        <w:ind w:left="709" w:hanging="709"/>
        <w:jc w:val="both"/>
        <w:rPr>
          <w:color w:val="000000"/>
        </w:rPr>
      </w:pPr>
      <w:proofErr w:type="spellStart"/>
      <w:r w:rsidRPr="009A1789">
        <w:rPr>
          <w:color w:val="000000"/>
        </w:rPr>
        <w:t>Sinha</w:t>
      </w:r>
      <w:proofErr w:type="spellEnd"/>
      <w:r w:rsidRPr="009A1789">
        <w:rPr>
          <w:color w:val="000000"/>
        </w:rPr>
        <w:t xml:space="preserve"> S, </w:t>
      </w:r>
      <w:proofErr w:type="spellStart"/>
      <w:r w:rsidRPr="009A1789">
        <w:rPr>
          <w:color w:val="000000"/>
        </w:rPr>
        <w:t>Jothiramajayam</w:t>
      </w:r>
      <w:proofErr w:type="spellEnd"/>
      <w:r w:rsidRPr="009A1789">
        <w:rPr>
          <w:color w:val="000000"/>
        </w:rPr>
        <w:t xml:space="preserve"> M, et al. </w:t>
      </w:r>
      <w:proofErr w:type="spellStart"/>
      <w:r w:rsidRPr="009A1789">
        <w:rPr>
          <w:color w:val="000000"/>
        </w:rPr>
        <w:t>Toxicity</w:t>
      </w:r>
      <w:proofErr w:type="spellEnd"/>
      <w:r w:rsidRPr="009A1789">
        <w:rPr>
          <w:color w:val="000000"/>
        </w:rPr>
        <w:t xml:space="preserve"> of </w:t>
      </w:r>
      <w:proofErr w:type="spellStart"/>
      <w:r w:rsidRPr="009A1789">
        <w:rPr>
          <w:color w:val="000000"/>
        </w:rPr>
        <w:t>essential</w:t>
      </w:r>
      <w:proofErr w:type="spellEnd"/>
      <w:r w:rsidRPr="009A1789">
        <w:rPr>
          <w:color w:val="000000"/>
        </w:rPr>
        <w:t xml:space="preserve"> </w:t>
      </w:r>
      <w:proofErr w:type="spellStart"/>
      <w:r w:rsidRPr="009A1789">
        <w:rPr>
          <w:color w:val="000000"/>
        </w:rPr>
        <w:t>oils</w:t>
      </w:r>
      <w:proofErr w:type="spellEnd"/>
      <w:r w:rsidRPr="009A1789">
        <w:rPr>
          <w:color w:val="000000"/>
        </w:rPr>
        <w:t xml:space="preserve"> in </w:t>
      </w:r>
      <w:proofErr w:type="spellStart"/>
      <w:r w:rsidRPr="009A1789">
        <w:rPr>
          <w:color w:val="000000"/>
        </w:rPr>
        <w:t>lymphocytes</w:t>
      </w:r>
      <w:proofErr w:type="spellEnd"/>
      <w:r w:rsidRPr="009A1789">
        <w:rPr>
          <w:color w:val="000000"/>
        </w:rPr>
        <w:t xml:space="preserve">. </w:t>
      </w:r>
      <w:proofErr w:type="spellStart"/>
      <w:r w:rsidRPr="009A1789">
        <w:rPr>
          <w:color w:val="000000"/>
        </w:rPr>
        <w:t>Food</w:t>
      </w:r>
      <w:proofErr w:type="spellEnd"/>
      <w:r w:rsidRPr="009A1789">
        <w:rPr>
          <w:color w:val="000000"/>
        </w:rPr>
        <w:t xml:space="preserve"> </w:t>
      </w:r>
      <w:proofErr w:type="spellStart"/>
      <w:r w:rsidRPr="009A1789">
        <w:rPr>
          <w:color w:val="000000"/>
        </w:rPr>
        <w:t>and</w:t>
      </w:r>
      <w:proofErr w:type="spellEnd"/>
      <w:r w:rsidRPr="009A1789">
        <w:rPr>
          <w:color w:val="000000"/>
        </w:rPr>
        <w:t xml:space="preserve"> </w:t>
      </w:r>
      <w:proofErr w:type="spellStart"/>
      <w:r w:rsidRPr="009A1789">
        <w:rPr>
          <w:color w:val="000000"/>
        </w:rPr>
        <w:t>Chemical</w:t>
      </w:r>
      <w:proofErr w:type="spellEnd"/>
      <w:r w:rsidRPr="009A1789">
        <w:rPr>
          <w:color w:val="000000"/>
        </w:rPr>
        <w:t xml:space="preserve"> </w:t>
      </w:r>
      <w:proofErr w:type="spellStart"/>
      <w:r w:rsidRPr="009A1789">
        <w:rPr>
          <w:color w:val="000000"/>
        </w:rPr>
        <w:t>Toxicology</w:t>
      </w:r>
      <w:proofErr w:type="spellEnd"/>
      <w:r w:rsidRPr="009A1789">
        <w:rPr>
          <w:color w:val="000000"/>
        </w:rPr>
        <w:t xml:space="preserve">. </w:t>
      </w:r>
      <w:proofErr w:type="gramStart"/>
      <w:r w:rsidRPr="009A1789">
        <w:rPr>
          <w:color w:val="000000"/>
        </w:rPr>
        <w:t>2014;68:71</w:t>
      </w:r>
      <w:proofErr w:type="gramEnd"/>
      <w:r w:rsidRPr="009A1789">
        <w:rPr>
          <w:color w:val="000000"/>
        </w:rPr>
        <w:t>–77.</w:t>
      </w:r>
    </w:p>
    <w:p w14:paraId="7C9C3E96" w14:textId="063A9DE4" w:rsidR="004C27D4" w:rsidRPr="009A1789" w:rsidRDefault="004C27D4" w:rsidP="009C516A">
      <w:pPr>
        <w:pStyle w:val="NormalWeb"/>
        <w:spacing w:before="120" w:after="120" w:line="276" w:lineRule="auto"/>
        <w:ind w:left="709" w:hanging="709"/>
        <w:jc w:val="both"/>
        <w:rPr>
          <w:color w:val="000000"/>
        </w:rPr>
      </w:pPr>
      <w:proofErr w:type="spellStart"/>
      <w:r>
        <w:rPr>
          <w:color w:val="212121"/>
          <w:shd w:val="clear" w:color="auto" w:fill="FFFFFF"/>
        </w:rPr>
        <w:t>Temple</w:t>
      </w:r>
      <w:proofErr w:type="spellEnd"/>
      <w:r>
        <w:rPr>
          <w:color w:val="212121"/>
          <w:shd w:val="clear" w:color="auto" w:fill="FFFFFF"/>
        </w:rPr>
        <w:t xml:space="preserve"> WA, Smith NA, </w:t>
      </w:r>
      <w:proofErr w:type="spellStart"/>
      <w:r>
        <w:rPr>
          <w:color w:val="212121"/>
          <w:shd w:val="clear" w:color="auto" w:fill="FFFFFF"/>
        </w:rPr>
        <w:t>Beasley</w:t>
      </w:r>
      <w:proofErr w:type="spellEnd"/>
      <w:r>
        <w:rPr>
          <w:color w:val="212121"/>
          <w:shd w:val="clear" w:color="auto" w:fill="FFFFFF"/>
        </w:rPr>
        <w:t xml:space="preserve"> M. Management of </w:t>
      </w:r>
      <w:proofErr w:type="spellStart"/>
      <w:r>
        <w:rPr>
          <w:color w:val="212121"/>
          <w:shd w:val="clear" w:color="auto" w:fill="FFFFFF"/>
        </w:rPr>
        <w:t>oil</w:t>
      </w:r>
      <w:proofErr w:type="spellEnd"/>
      <w:r>
        <w:rPr>
          <w:color w:val="212121"/>
          <w:shd w:val="clear" w:color="auto" w:fill="FFFFFF"/>
        </w:rPr>
        <w:t xml:space="preserve"> of </w:t>
      </w:r>
      <w:proofErr w:type="spellStart"/>
      <w:r>
        <w:rPr>
          <w:color w:val="212121"/>
          <w:shd w:val="clear" w:color="auto" w:fill="FFFFFF"/>
        </w:rPr>
        <w:t>citronella</w:t>
      </w:r>
      <w:proofErr w:type="spellEnd"/>
      <w:r>
        <w:rPr>
          <w:color w:val="212121"/>
          <w:shd w:val="clear" w:color="auto" w:fill="FFFFFF"/>
        </w:rPr>
        <w:t xml:space="preserve"> </w:t>
      </w:r>
      <w:proofErr w:type="spellStart"/>
      <w:r>
        <w:rPr>
          <w:color w:val="212121"/>
          <w:shd w:val="clear" w:color="auto" w:fill="FFFFFF"/>
        </w:rPr>
        <w:t>poisoning</w:t>
      </w:r>
      <w:proofErr w:type="spellEnd"/>
      <w:r>
        <w:rPr>
          <w:color w:val="212121"/>
          <w:shd w:val="clear" w:color="auto" w:fill="FFFFFF"/>
        </w:rPr>
        <w:t xml:space="preserve">. J </w:t>
      </w:r>
      <w:proofErr w:type="spellStart"/>
      <w:r>
        <w:rPr>
          <w:color w:val="212121"/>
          <w:shd w:val="clear" w:color="auto" w:fill="FFFFFF"/>
        </w:rPr>
        <w:t>Toxicol</w:t>
      </w:r>
      <w:proofErr w:type="spellEnd"/>
      <w:r>
        <w:rPr>
          <w:color w:val="212121"/>
          <w:shd w:val="clear" w:color="auto" w:fill="FFFFFF"/>
        </w:rPr>
        <w:t xml:space="preserve"> </w:t>
      </w:r>
      <w:proofErr w:type="spellStart"/>
      <w:r>
        <w:rPr>
          <w:color w:val="212121"/>
          <w:shd w:val="clear" w:color="auto" w:fill="FFFFFF"/>
        </w:rPr>
        <w:t>Clin</w:t>
      </w:r>
      <w:proofErr w:type="spellEnd"/>
      <w:r>
        <w:rPr>
          <w:color w:val="212121"/>
          <w:shd w:val="clear" w:color="auto" w:fill="FFFFFF"/>
        </w:rPr>
        <w:t xml:space="preserve"> </w:t>
      </w:r>
      <w:proofErr w:type="spellStart"/>
      <w:r>
        <w:rPr>
          <w:color w:val="212121"/>
          <w:shd w:val="clear" w:color="auto" w:fill="FFFFFF"/>
        </w:rPr>
        <w:t>Toxicol</w:t>
      </w:r>
      <w:proofErr w:type="spellEnd"/>
      <w:r>
        <w:rPr>
          <w:color w:val="212121"/>
          <w:shd w:val="clear" w:color="auto" w:fill="FFFFFF"/>
        </w:rPr>
        <w:t xml:space="preserve">. 1991;29(2):257-62; </w:t>
      </w:r>
      <w:proofErr w:type="spellStart"/>
      <w:r>
        <w:rPr>
          <w:color w:val="212121"/>
          <w:shd w:val="clear" w:color="auto" w:fill="FFFFFF"/>
        </w:rPr>
        <w:t>discussion</w:t>
      </w:r>
      <w:proofErr w:type="spellEnd"/>
      <w:r>
        <w:rPr>
          <w:color w:val="212121"/>
          <w:shd w:val="clear" w:color="auto" w:fill="FFFFFF"/>
        </w:rPr>
        <w:t xml:space="preserve"> 263. </w:t>
      </w:r>
      <w:proofErr w:type="spellStart"/>
      <w:r>
        <w:rPr>
          <w:color w:val="212121"/>
          <w:shd w:val="clear" w:color="auto" w:fill="FFFFFF"/>
        </w:rPr>
        <w:t>doi</w:t>
      </w:r>
      <w:proofErr w:type="spellEnd"/>
      <w:r>
        <w:rPr>
          <w:color w:val="212121"/>
          <w:shd w:val="clear" w:color="auto" w:fill="FFFFFF"/>
        </w:rPr>
        <w:t>: 10.3109/15563659109038618. PMID: 1675696.</w:t>
      </w:r>
    </w:p>
    <w:p w14:paraId="78421C2F" w14:textId="77777777" w:rsidR="009A1789" w:rsidRPr="009A1789" w:rsidRDefault="009A1789" w:rsidP="009C516A">
      <w:pPr>
        <w:pStyle w:val="NormalWeb"/>
        <w:spacing w:before="120" w:after="120" w:line="276" w:lineRule="auto"/>
        <w:ind w:left="709" w:hanging="709"/>
        <w:jc w:val="both"/>
        <w:rPr>
          <w:color w:val="000000"/>
        </w:rPr>
      </w:pPr>
      <w:proofErr w:type="spellStart"/>
      <w:r w:rsidRPr="009A1789">
        <w:rPr>
          <w:color w:val="000000"/>
        </w:rPr>
        <w:t>Tibenda</w:t>
      </w:r>
      <w:proofErr w:type="spellEnd"/>
      <w:r w:rsidRPr="009A1789">
        <w:rPr>
          <w:color w:val="000000"/>
        </w:rPr>
        <w:t xml:space="preserve"> JJ, </w:t>
      </w:r>
      <w:proofErr w:type="spellStart"/>
      <w:r w:rsidRPr="009A1789">
        <w:rPr>
          <w:color w:val="000000"/>
        </w:rPr>
        <w:t>Yi</w:t>
      </w:r>
      <w:proofErr w:type="spellEnd"/>
      <w:r w:rsidRPr="009A1789">
        <w:rPr>
          <w:color w:val="000000"/>
        </w:rPr>
        <w:t xml:space="preserve"> Q, et al. </w:t>
      </w:r>
      <w:proofErr w:type="spellStart"/>
      <w:r w:rsidRPr="009A1789">
        <w:rPr>
          <w:color w:val="000000"/>
        </w:rPr>
        <w:t>Review</w:t>
      </w:r>
      <w:proofErr w:type="spellEnd"/>
      <w:r w:rsidRPr="009A1789">
        <w:rPr>
          <w:color w:val="000000"/>
        </w:rPr>
        <w:t xml:space="preserve"> of </w:t>
      </w:r>
      <w:proofErr w:type="spellStart"/>
      <w:r w:rsidRPr="009A1789">
        <w:rPr>
          <w:color w:val="000000"/>
        </w:rPr>
        <w:t>Cymbopogon</w:t>
      </w:r>
      <w:proofErr w:type="spellEnd"/>
      <w:r w:rsidRPr="009A1789">
        <w:rPr>
          <w:color w:val="000000"/>
        </w:rPr>
        <w:t xml:space="preserve"> </w:t>
      </w:r>
      <w:proofErr w:type="spellStart"/>
      <w:r w:rsidRPr="009A1789">
        <w:rPr>
          <w:color w:val="000000"/>
        </w:rPr>
        <w:t>genus</w:t>
      </w:r>
      <w:proofErr w:type="spellEnd"/>
      <w:r w:rsidRPr="009A1789">
        <w:rPr>
          <w:color w:val="000000"/>
        </w:rPr>
        <w:t xml:space="preserve">. </w:t>
      </w:r>
      <w:proofErr w:type="spellStart"/>
      <w:r w:rsidRPr="009A1789">
        <w:rPr>
          <w:color w:val="000000"/>
        </w:rPr>
        <w:t>Frontiers</w:t>
      </w:r>
      <w:proofErr w:type="spellEnd"/>
      <w:r w:rsidRPr="009A1789">
        <w:rPr>
          <w:color w:val="000000"/>
        </w:rPr>
        <w:t xml:space="preserve"> in </w:t>
      </w:r>
      <w:proofErr w:type="spellStart"/>
      <w:r w:rsidRPr="009A1789">
        <w:rPr>
          <w:color w:val="000000"/>
        </w:rPr>
        <w:t>Pharmacology</w:t>
      </w:r>
      <w:proofErr w:type="spellEnd"/>
      <w:r w:rsidRPr="009A1789">
        <w:rPr>
          <w:color w:val="000000"/>
        </w:rPr>
        <w:t xml:space="preserve">. </w:t>
      </w:r>
      <w:proofErr w:type="gramStart"/>
      <w:r w:rsidRPr="009A1789">
        <w:rPr>
          <w:color w:val="000000"/>
        </w:rPr>
        <w:t>2022;13:997918</w:t>
      </w:r>
      <w:proofErr w:type="gramEnd"/>
      <w:r w:rsidRPr="009A1789">
        <w:rPr>
          <w:color w:val="000000"/>
        </w:rPr>
        <w:t>.</w:t>
      </w:r>
    </w:p>
    <w:p w14:paraId="1B403CF9" w14:textId="6AD66F91" w:rsidR="009A1789" w:rsidRDefault="009A1789" w:rsidP="009C516A">
      <w:pPr>
        <w:pStyle w:val="NormalWeb"/>
        <w:spacing w:before="120" w:after="120" w:line="276" w:lineRule="auto"/>
        <w:ind w:left="709" w:hanging="709"/>
        <w:jc w:val="both"/>
        <w:rPr>
          <w:color w:val="000000"/>
        </w:rPr>
      </w:pPr>
      <w:proofErr w:type="spellStart"/>
      <w:r w:rsidRPr="009A1789">
        <w:rPr>
          <w:color w:val="000000"/>
        </w:rPr>
        <w:t>Tisserand</w:t>
      </w:r>
      <w:proofErr w:type="spellEnd"/>
      <w:r w:rsidRPr="009A1789">
        <w:rPr>
          <w:color w:val="000000"/>
        </w:rPr>
        <w:t xml:space="preserve"> R, </w:t>
      </w:r>
      <w:proofErr w:type="spellStart"/>
      <w:r w:rsidRPr="009A1789">
        <w:rPr>
          <w:color w:val="000000"/>
        </w:rPr>
        <w:t>Young</w:t>
      </w:r>
      <w:proofErr w:type="spellEnd"/>
      <w:r w:rsidRPr="009A1789">
        <w:rPr>
          <w:color w:val="000000"/>
        </w:rPr>
        <w:t xml:space="preserve"> R. </w:t>
      </w:r>
      <w:proofErr w:type="spellStart"/>
      <w:r w:rsidRPr="009A1789">
        <w:rPr>
          <w:color w:val="000000"/>
        </w:rPr>
        <w:t>Essential</w:t>
      </w:r>
      <w:proofErr w:type="spellEnd"/>
      <w:r w:rsidRPr="009A1789">
        <w:rPr>
          <w:color w:val="000000"/>
        </w:rPr>
        <w:t xml:space="preserve"> </w:t>
      </w:r>
      <w:proofErr w:type="spellStart"/>
      <w:r w:rsidRPr="009A1789">
        <w:rPr>
          <w:color w:val="000000"/>
        </w:rPr>
        <w:t>oil</w:t>
      </w:r>
      <w:proofErr w:type="spellEnd"/>
      <w:r w:rsidRPr="009A1789">
        <w:rPr>
          <w:color w:val="000000"/>
        </w:rPr>
        <w:t xml:space="preserve"> </w:t>
      </w:r>
      <w:proofErr w:type="spellStart"/>
      <w:r w:rsidRPr="009A1789">
        <w:rPr>
          <w:color w:val="000000"/>
        </w:rPr>
        <w:t>safety</w:t>
      </w:r>
      <w:proofErr w:type="spellEnd"/>
      <w:r w:rsidRPr="009A1789">
        <w:rPr>
          <w:color w:val="000000"/>
        </w:rPr>
        <w:t xml:space="preserve">. </w:t>
      </w:r>
      <w:proofErr w:type="spellStart"/>
      <w:r w:rsidRPr="009A1789">
        <w:rPr>
          <w:color w:val="000000"/>
        </w:rPr>
        <w:t>Elsevier</w:t>
      </w:r>
      <w:proofErr w:type="spellEnd"/>
      <w:r w:rsidRPr="009A1789">
        <w:rPr>
          <w:color w:val="000000"/>
        </w:rPr>
        <w:t>; 2013.</w:t>
      </w:r>
    </w:p>
    <w:p w14:paraId="3F83027D" w14:textId="4592FCCA" w:rsidR="00BA4560" w:rsidRDefault="00BA4560" w:rsidP="009C516A">
      <w:pPr>
        <w:pStyle w:val="NormalWeb"/>
        <w:spacing w:before="120" w:after="120" w:line="276" w:lineRule="auto"/>
        <w:ind w:left="709" w:hanging="709"/>
        <w:jc w:val="both"/>
        <w:rPr>
          <w:color w:val="000000"/>
        </w:rPr>
      </w:pPr>
      <w:proofErr w:type="spellStart"/>
      <w:r w:rsidRPr="00BA4560">
        <w:rPr>
          <w:color w:val="000000"/>
        </w:rPr>
        <w:lastRenderedPageBreak/>
        <w:t>Vinothkumar</w:t>
      </w:r>
      <w:proofErr w:type="spellEnd"/>
      <w:r w:rsidRPr="00BA4560">
        <w:rPr>
          <w:color w:val="000000"/>
        </w:rPr>
        <w:t xml:space="preserve"> V, </w:t>
      </w:r>
      <w:proofErr w:type="spellStart"/>
      <w:r w:rsidRPr="00BA4560">
        <w:rPr>
          <w:color w:val="000000"/>
        </w:rPr>
        <w:t>Manoharan</w:t>
      </w:r>
      <w:proofErr w:type="spellEnd"/>
      <w:r w:rsidRPr="00BA4560">
        <w:rPr>
          <w:color w:val="000000"/>
        </w:rPr>
        <w:t xml:space="preserve"> S. </w:t>
      </w:r>
      <w:proofErr w:type="spellStart"/>
      <w:r w:rsidRPr="00BA4560">
        <w:rPr>
          <w:color w:val="000000"/>
        </w:rPr>
        <w:t>Chemopreventive</w:t>
      </w:r>
      <w:proofErr w:type="spellEnd"/>
      <w:r w:rsidRPr="00BA4560">
        <w:rPr>
          <w:color w:val="000000"/>
        </w:rPr>
        <w:t xml:space="preserve"> </w:t>
      </w:r>
      <w:proofErr w:type="spellStart"/>
      <w:r w:rsidRPr="00BA4560">
        <w:rPr>
          <w:color w:val="000000"/>
        </w:rPr>
        <w:t>efficacy</w:t>
      </w:r>
      <w:proofErr w:type="spellEnd"/>
      <w:r w:rsidRPr="00BA4560">
        <w:rPr>
          <w:color w:val="000000"/>
        </w:rPr>
        <w:t xml:space="preserve"> of </w:t>
      </w:r>
      <w:proofErr w:type="spellStart"/>
      <w:r w:rsidRPr="00BA4560">
        <w:rPr>
          <w:color w:val="000000"/>
        </w:rPr>
        <w:t>geraniol</w:t>
      </w:r>
      <w:proofErr w:type="spellEnd"/>
      <w:r w:rsidRPr="00BA4560">
        <w:rPr>
          <w:color w:val="000000"/>
        </w:rPr>
        <w:t xml:space="preserve"> </w:t>
      </w:r>
      <w:proofErr w:type="spellStart"/>
      <w:r w:rsidRPr="00BA4560">
        <w:rPr>
          <w:color w:val="000000"/>
        </w:rPr>
        <w:t>against</w:t>
      </w:r>
      <w:proofErr w:type="spellEnd"/>
      <w:r w:rsidRPr="00BA4560">
        <w:rPr>
          <w:color w:val="000000"/>
        </w:rPr>
        <w:t xml:space="preserve"> 7,12-dimethylbenz[a]</w:t>
      </w:r>
      <w:proofErr w:type="spellStart"/>
      <w:r w:rsidRPr="00BA4560">
        <w:rPr>
          <w:color w:val="000000"/>
        </w:rPr>
        <w:t>anthracene-induced</w:t>
      </w:r>
      <w:proofErr w:type="spellEnd"/>
      <w:r w:rsidRPr="00BA4560">
        <w:rPr>
          <w:color w:val="000000"/>
        </w:rPr>
        <w:t xml:space="preserve"> </w:t>
      </w:r>
      <w:proofErr w:type="spellStart"/>
      <w:r w:rsidRPr="00BA4560">
        <w:rPr>
          <w:color w:val="000000"/>
        </w:rPr>
        <w:t>hamster</w:t>
      </w:r>
      <w:proofErr w:type="spellEnd"/>
      <w:r w:rsidRPr="00BA4560">
        <w:rPr>
          <w:color w:val="000000"/>
        </w:rPr>
        <w:t xml:space="preserve"> </w:t>
      </w:r>
      <w:proofErr w:type="spellStart"/>
      <w:r w:rsidRPr="00BA4560">
        <w:rPr>
          <w:color w:val="000000"/>
        </w:rPr>
        <w:t>buccal</w:t>
      </w:r>
      <w:proofErr w:type="spellEnd"/>
      <w:r w:rsidRPr="00BA4560">
        <w:rPr>
          <w:color w:val="000000"/>
        </w:rPr>
        <w:t xml:space="preserve"> </w:t>
      </w:r>
      <w:proofErr w:type="spellStart"/>
      <w:r w:rsidRPr="00BA4560">
        <w:rPr>
          <w:color w:val="000000"/>
        </w:rPr>
        <w:t>pouch</w:t>
      </w:r>
      <w:proofErr w:type="spellEnd"/>
      <w:r w:rsidRPr="00BA4560">
        <w:rPr>
          <w:color w:val="000000"/>
        </w:rPr>
        <w:t xml:space="preserve"> </w:t>
      </w:r>
      <w:proofErr w:type="spellStart"/>
      <w:r w:rsidRPr="00BA4560">
        <w:rPr>
          <w:color w:val="000000"/>
        </w:rPr>
        <w:t>carcinogenesis</w:t>
      </w:r>
      <w:proofErr w:type="spellEnd"/>
      <w:r w:rsidRPr="00BA4560">
        <w:rPr>
          <w:color w:val="000000"/>
        </w:rPr>
        <w:t xml:space="preserve">. </w:t>
      </w:r>
      <w:proofErr w:type="spellStart"/>
      <w:r w:rsidRPr="00BA4560">
        <w:rPr>
          <w:color w:val="000000"/>
        </w:rPr>
        <w:t>Redox</w:t>
      </w:r>
      <w:proofErr w:type="spellEnd"/>
      <w:r w:rsidRPr="00BA4560">
        <w:rPr>
          <w:color w:val="000000"/>
        </w:rPr>
        <w:t xml:space="preserve"> </w:t>
      </w:r>
      <w:proofErr w:type="spellStart"/>
      <w:r w:rsidRPr="00BA4560">
        <w:rPr>
          <w:color w:val="000000"/>
        </w:rPr>
        <w:t>Rep</w:t>
      </w:r>
      <w:proofErr w:type="spellEnd"/>
      <w:r w:rsidRPr="00BA4560">
        <w:rPr>
          <w:color w:val="000000"/>
        </w:rPr>
        <w:t xml:space="preserve">. 2011;16(3):91-100. </w:t>
      </w:r>
      <w:proofErr w:type="spellStart"/>
      <w:r w:rsidRPr="00BA4560">
        <w:rPr>
          <w:color w:val="000000"/>
        </w:rPr>
        <w:t>doi</w:t>
      </w:r>
      <w:proofErr w:type="spellEnd"/>
      <w:r w:rsidRPr="00BA4560">
        <w:rPr>
          <w:color w:val="000000"/>
        </w:rPr>
        <w:t>: 10.1179/174329211X13020951739839. PMID: 21801490; PMCID: PMC6837579.</w:t>
      </w:r>
    </w:p>
    <w:p w14:paraId="32F8A0BC" w14:textId="07FC589C" w:rsidR="004C27D4" w:rsidRPr="009A1789" w:rsidRDefault="004C27D4" w:rsidP="004C27D4">
      <w:pPr>
        <w:pStyle w:val="NormalWeb"/>
        <w:spacing w:before="120" w:after="120" w:line="276" w:lineRule="auto"/>
        <w:ind w:left="709" w:hanging="709"/>
        <w:jc w:val="both"/>
        <w:rPr>
          <w:color w:val="000000"/>
        </w:rPr>
      </w:pPr>
      <w:proofErr w:type="spellStart"/>
      <w:r w:rsidRPr="004C27D4">
        <w:rPr>
          <w:color w:val="000000"/>
        </w:rPr>
        <w:t>Weiyang</w:t>
      </w:r>
      <w:proofErr w:type="spellEnd"/>
      <w:r w:rsidRPr="004C27D4">
        <w:rPr>
          <w:color w:val="000000"/>
        </w:rPr>
        <w:t xml:space="preserve"> </w:t>
      </w:r>
      <w:proofErr w:type="spellStart"/>
      <w:r w:rsidRPr="004C27D4">
        <w:rPr>
          <w:color w:val="000000"/>
        </w:rPr>
        <w:t>Chen</w:t>
      </w:r>
      <w:proofErr w:type="spellEnd"/>
      <w:r w:rsidRPr="004C27D4">
        <w:rPr>
          <w:color w:val="000000"/>
        </w:rPr>
        <w:t xml:space="preserve">, </w:t>
      </w:r>
      <w:proofErr w:type="spellStart"/>
      <w:r w:rsidRPr="004C27D4">
        <w:rPr>
          <w:color w:val="000000"/>
        </w:rPr>
        <w:t>Alvaro</w:t>
      </w:r>
      <w:proofErr w:type="spellEnd"/>
      <w:r w:rsidRPr="004C27D4">
        <w:rPr>
          <w:color w:val="000000"/>
        </w:rPr>
        <w:t xml:space="preserve"> M </w:t>
      </w:r>
      <w:proofErr w:type="spellStart"/>
      <w:r w:rsidRPr="004C27D4">
        <w:rPr>
          <w:color w:val="000000"/>
        </w:rPr>
        <w:t>Viljoen</w:t>
      </w:r>
      <w:proofErr w:type="spellEnd"/>
      <w:r w:rsidRPr="004C27D4">
        <w:rPr>
          <w:color w:val="000000"/>
        </w:rPr>
        <w:t>,</w:t>
      </w:r>
      <w:r>
        <w:rPr>
          <w:color w:val="000000"/>
        </w:rPr>
        <w:t xml:space="preserve"> </w:t>
      </w:r>
      <w:proofErr w:type="spellStart"/>
      <w:r w:rsidRPr="004C27D4">
        <w:rPr>
          <w:color w:val="000000"/>
        </w:rPr>
        <w:t>Geraniol</w:t>
      </w:r>
      <w:proofErr w:type="spellEnd"/>
      <w:r w:rsidRPr="004C27D4">
        <w:rPr>
          <w:color w:val="000000"/>
        </w:rPr>
        <w:t xml:space="preserve"> – A </w:t>
      </w:r>
      <w:proofErr w:type="spellStart"/>
      <w:r w:rsidRPr="004C27D4">
        <w:rPr>
          <w:color w:val="000000"/>
        </w:rPr>
        <w:t>review</w:t>
      </w:r>
      <w:proofErr w:type="spellEnd"/>
      <w:r w:rsidRPr="004C27D4">
        <w:rPr>
          <w:color w:val="000000"/>
        </w:rPr>
        <w:t xml:space="preserve"> </w:t>
      </w:r>
      <w:proofErr w:type="spellStart"/>
      <w:r w:rsidRPr="004C27D4">
        <w:rPr>
          <w:color w:val="000000"/>
        </w:rPr>
        <w:t>update</w:t>
      </w:r>
      <w:proofErr w:type="spellEnd"/>
      <w:r w:rsidRPr="004C27D4">
        <w:rPr>
          <w:color w:val="000000"/>
        </w:rPr>
        <w:t>,</w:t>
      </w:r>
      <w:r>
        <w:rPr>
          <w:color w:val="000000"/>
        </w:rPr>
        <w:t xml:space="preserve"> </w:t>
      </w:r>
      <w:r w:rsidRPr="004C27D4">
        <w:rPr>
          <w:color w:val="000000"/>
        </w:rPr>
        <w:t xml:space="preserve">South </w:t>
      </w:r>
      <w:proofErr w:type="spellStart"/>
      <w:r w:rsidRPr="004C27D4">
        <w:rPr>
          <w:color w:val="000000"/>
        </w:rPr>
        <w:t>African</w:t>
      </w:r>
      <w:proofErr w:type="spellEnd"/>
      <w:r w:rsidRPr="004C27D4">
        <w:rPr>
          <w:color w:val="000000"/>
        </w:rPr>
        <w:t xml:space="preserve"> </w:t>
      </w:r>
      <w:proofErr w:type="spellStart"/>
      <w:r w:rsidRPr="004C27D4">
        <w:rPr>
          <w:color w:val="000000"/>
        </w:rPr>
        <w:t>Journal</w:t>
      </w:r>
      <w:proofErr w:type="spellEnd"/>
      <w:r w:rsidRPr="004C27D4">
        <w:rPr>
          <w:color w:val="000000"/>
        </w:rPr>
        <w:t xml:space="preserve"> of </w:t>
      </w:r>
      <w:proofErr w:type="spellStart"/>
      <w:r w:rsidRPr="004C27D4">
        <w:rPr>
          <w:color w:val="000000"/>
        </w:rPr>
        <w:t>Botany</w:t>
      </w:r>
      <w:proofErr w:type="spellEnd"/>
      <w:r w:rsidRPr="004C27D4">
        <w:rPr>
          <w:color w:val="000000"/>
        </w:rPr>
        <w:t>,</w:t>
      </w:r>
      <w:r>
        <w:rPr>
          <w:color w:val="000000"/>
        </w:rPr>
        <w:t xml:space="preserve"> </w:t>
      </w:r>
      <w:r w:rsidRPr="004C27D4">
        <w:rPr>
          <w:color w:val="000000"/>
        </w:rPr>
        <w:t>Volume 150,</w:t>
      </w:r>
      <w:r>
        <w:rPr>
          <w:color w:val="000000"/>
        </w:rPr>
        <w:t xml:space="preserve"> </w:t>
      </w:r>
      <w:r w:rsidRPr="004C27D4">
        <w:rPr>
          <w:color w:val="000000"/>
        </w:rPr>
        <w:t>2022,</w:t>
      </w:r>
      <w:r>
        <w:rPr>
          <w:color w:val="000000"/>
        </w:rPr>
        <w:t xml:space="preserve"> </w:t>
      </w:r>
      <w:proofErr w:type="spellStart"/>
      <w:r w:rsidRPr="004C27D4">
        <w:rPr>
          <w:color w:val="000000"/>
        </w:rPr>
        <w:t>Pages</w:t>
      </w:r>
      <w:proofErr w:type="spellEnd"/>
      <w:r w:rsidRPr="004C27D4">
        <w:rPr>
          <w:color w:val="000000"/>
        </w:rPr>
        <w:t xml:space="preserve"> 1205-1219,</w:t>
      </w:r>
      <w:r>
        <w:rPr>
          <w:color w:val="000000"/>
        </w:rPr>
        <w:t xml:space="preserve"> </w:t>
      </w:r>
      <w:r w:rsidRPr="004C27D4">
        <w:rPr>
          <w:color w:val="000000"/>
        </w:rPr>
        <w:t>ISSN 0254-6299,</w:t>
      </w:r>
      <w:r>
        <w:rPr>
          <w:color w:val="000000"/>
        </w:rPr>
        <w:t xml:space="preserve"> </w:t>
      </w:r>
      <w:r w:rsidRPr="004C27D4">
        <w:rPr>
          <w:color w:val="000000"/>
        </w:rPr>
        <w:t>https://doi.org/10.1016/j.sajb.2022.09.012.</w:t>
      </w:r>
    </w:p>
    <w:p w14:paraId="030352E9" w14:textId="0A6FE6B7" w:rsidR="009A1789" w:rsidRDefault="009A1789" w:rsidP="009C516A">
      <w:pPr>
        <w:pStyle w:val="NormalWeb"/>
        <w:spacing w:before="120" w:beforeAutospacing="0" w:after="120" w:afterAutospacing="0" w:line="276" w:lineRule="auto"/>
        <w:ind w:left="709" w:hanging="709"/>
        <w:jc w:val="both"/>
        <w:rPr>
          <w:color w:val="000000"/>
        </w:rPr>
      </w:pPr>
      <w:r w:rsidRPr="009A1789">
        <w:rPr>
          <w:color w:val="000000"/>
        </w:rPr>
        <w:t xml:space="preserve">VWS. </w:t>
      </w:r>
      <w:proofErr w:type="spellStart"/>
      <w:r w:rsidRPr="009A1789">
        <w:rPr>
          <w:color w:val="000000"/>
        </w:rPr>
        <w:t>Warenwetbesluit</w:t>
      </w:r>
      <w:proofErr w:type="spellEnd"/>
      <w:r w:rsidRPr="009A1789">
        <w:rPr>
          <w:color w:val="000000"/>
        </w:rPr>
        <w:t xml:space="preserve"> </w:t>
      </w:r>
      <w:proofErr w:type="spellStart"/>
      <w:r w:rsidRPr="009A1789">
        <w:rPr>
          <w:color w:val="000000"/>
        </w:rPr>
        <w:t>Kruidenpreparaten</w:t>
      </w:r>
      <w:proofErr w:type="spellEnd"/>
      <w:r w:rsidRPr="009A1789">
        <w:rPr>
          <w:color w:val="000000"/>
        </w:rPr>
        <w:t xml:space="preserve">. </w:t>
      </w:r>
      <w:proofErr w:type="spellStart"/>
      <w:r w:rsidRPr="009A1789">
        <w:rPr>
          <w:color w:val="000000"/>
        </w:rPr>
        <w:t>Available</w:t>
      </w:r>
      <w:proofErr w:type="spellEnd"/>
      <w:r w:rsidRPr="009A1789">
        <w:rPr>
          <w:color w:val="000000"/>
        </w:rPr>
        <w:t xml:space="preserve"> </w:t>
      </w:r>
      <w:proofErr w:type="spellStart"/>
      <w:r w:rsidRPr="009A1789">
        <w:rPr>
          <w:color w:val="000000"/>
        </w:rPr>
        <w:t>from</w:t>
      </w:r>
      <w:proofErr w:type="spellEnd"/>
      <w:r w:rsidRPr="009A1789">
        <w:rPr>
          <w:color w:val="000000"/>
        </w:rPr>
        <w:t>: https://wetten.overheid.nl</w:t>
      </w:r>
    </w:p>
    <w:p w14:paraId="31839396" w14:textId="77777777" w:rsidR="009F7F21" w:rsidRDefault="009F7F21" w:rsidP="009C516A">
      <w:pPr>
        <w:pStyle w:val="NormalWeb"/>
        <w:spacing w:before="120" w:beforeAutospacing="0" w:after="120" w:afterAutospacing="0" w:line="276" w:lineRule="auto"/>
        <w:ind w:firstLine="720"/>
        <w:jc w:val="both"/>
      </w:pPr>
    </w:p>
    <w:p w14:paraId="1E878EFF" w14:textId="77777777" w:rsidR="009F7F21" w:rsidRPr="009F7F21" w:rsidRDefault="009F7F21" w:rsidP="009C516A">
      <w:pPr>
        <w:spacing w:line="276" w:lineRule="auto"/>
        <w:jc w:val="both"/>
        <w:rPr>
          <w:rFonts w:ascii="Times New Roman" w:hAnsi="Times New Roman" w:cs="Times New Roman"/>
          <w:sz w:val="24"/>
          <w:szCs w:val="24"/>
        </w:rPr>
      </w:pPr>
    </w:p>
    <w:sectPr w:rsidR="009F7F21" w:rsidRPr="009F7F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C4B1" w14:textId="77777777" w:rsidR="004D5BB9" w:rsidRDefault="004D5BB9" w:rsidP="009C516A">
      <w:pPr>
        <w:spacing w:after="0" w:line="240" w:lineRule="auto"/>
      </w:pPr>
      <w:r>
        <w:separator/>
      </w:r>
    </w:p>
  </w:endnote>
  <w:endnote w:type="continuationSeparator" w:id="0">
    <w:p w14:paraId="78F5EB49" w14:textId="77777777" w:rsidR="004D5BB9" w:rsidRDefault="004D5BB9" w:rsidP="009C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08EB" w14:textId="77777777" w:rsidR="00A57DFA" w:rsidRDefault="00A57DFA" w:rsidP="00A57DFA">
    <w:pPr>
      <w:pStyle w:val="AltBilgi"/>
      <w:pBdr>
        <w:bottom w:val="single" w:sz="6" w:space="1" w:color="auto"/>
      </w:pBdr>
      <w:rPr>
        <w:rFonts w:ascii="Times New Roman" w:hAnsi="Times New Roman" w:cs="Times New Roman"/>
        <w:sz w:val="24"/>
      </w:rPr>
    </w:pPr>
  </w:p>
  <w:p w14:paraId="4E3BE5BA" w14:textId="77777777" w:rsidR="00A57DFA" w:rsidRPr="000A08E5" w:rsidRDefault="00A57DFA" w:rsidP="00A57DFA">
    <w:pPr>
      <w:pStyle w:val="AltBilgi"/>
      <w:rPr>
        <w:rFonts w:ascii="Times New Roman" w:hAnsi="Times New Roman" w:cs="Times New Roman"/>
        <w:sz w:val="24"/>
      </w:rPr>
    </w:pPr>
    <w:r w:rsidRPr="000A08E5">
      <w:rPr>
        <w:rFonts w:ascii="Times New Roman" w:hAnsi="Times New Roman" w:cs="Times New Roman"/>
        <w:sz w:val="24"/>
      </w:rPr>
      <w:t>GKGM – Risk Değerlendirme ve Laboratuvarlar Daire Başkanlığı, 2026</w:t>
    </w:r>
  </w:p>
  <w:p w14:paraId="1A2A0AB4" w14:textId="77777777" w:rsidR="00A57DFA" w:rsidRDefault="00A57D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8727" w14:textId="77777777" w:rsidR="004D5BB9" w:rsidRDefault="004D5BB9" w:rsidP="009C516A">
      <w:pPr>
        <w:spacing w:after="0" w:line="240" w:lineRule="auto"/>
      </w:pPr>
      <w:r>
        <w:separator/>
      </w:r>
    </w:p>
  </w:footnote>
  <w:footnote w:type="continuationSeparator" w:id="0">
    <w:p w14:paraId="6B2C80E0" w14:textId="77777777" w:rsidR="004D5BB9" w:rsidRDefault="004D5BB9" w:rsidP="009C516A">
      <w:pPr>
        <w:spacing w:after="0" w:line="240" w:lineRule="auto"/>
      </w:pPr>
      <w:r>
        <w:continuationSeparator/>
      </w:r>
    </w:p>
  </w:footnote>
  <w:footnote w:id="1">
    <w:p w14:paraId="077258E8" w14:textId="64F23262" w:rsidR="00052746" w:rsidRDefault="00052746" w:rsidP="00570B03">
      <w:pPr>
        <w:pStyle w:val="DipnotMetni"/>
        <w:jc w:val="both"/>
      </w:pPr>
      <w:r>
        <w:rPr>
          <w:rStyle w:val="DipnotBavurusu"/>
        </w:rPr>
        <w:footnoteRef/>
      </w:r>
      <w:r>
        <w:t xml:space="preserve"> </w:t>
      </w:r>
      <w:proofErr w:type="gramStart"/>
      <w:r w:rsidRPr="00770F7A">
        <w:rPr>
          <w:rFonts w:ascii="Times New Roman" w:hAnsi="Times New Roman" w:cs="Times New Roman"/>
        </w:rPr>
        <w:t>17.04.2026  tarihindeki</w:t>
      </w:r>
      <w:proofErr w:type="gramEnd"/>
      <w:r w:rsidRPr="00770F7A">
        <w:rPr>
          <w:rFonts w:ascii="Times New Roman" w:hAnsi="Times New Roman" w:cs="Times New Roman"/>
        </w:rPr>
        <w:t xml:space="preserve"> Komisyon toplantısında yapılan değerlendirmelere istinaden hazırlanmış, kamuoyu görüşüne açılmak üzere kabul edilmiş</w:t>
      </w:r>
      <w:r>
        <w:rPr>
          <w:rFonts w:ascii="Times New Roman" w:hAnsi="Times New Roman" w:cs="Times New Roman"/>
        </w:rPr>
        <w:t>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7888C" w14:textId="77777777" w:rsidR="00A57DFA" w:rsidRPr="000A08E5" w:rsidRDefault="00A57DFA" w:rsidP="00A57DFA">
    <w:pPr>
      <w:framePr w:w="6688" w:hSpace="141" w:wrap="notBeside" w:vAnchor="page" w:hAnchor="page" w:x="2590" w:y="631"/>
      <w:jc w:val="center"/>
      <w:rPr>
        <w:rFonts w:ascii="Times New Roman" w:hAnsi="Times New Roman" w:cs="Times New Roman"/>
        <w:b/>
        <w:sz w:val="24"/>
      </w:rPr>
    </w:pPr>
    <w:r w:rsidRPr="000A08E5">
      <w:rPr>
        <w:rFonts w:ascii="Times New Roman" w:hAnsi="Times New Roman" w:cs="Times New Roman"/>
        <w:b/>
        <w:sz w:val="24"/>
      </w:rPr>
      <w:t>T.C.</w:t>
    </w:r>
  </w:p>
  <w:p w14:paraId="5C2E3A39" w14:textId="77777777" w:rsidR="00A57DFA" w:rsidRPr="000A08E5" w:rsidRDefault="00A57DFA" w:rsidP="00A57DFA">
    <w:pPr>
      <w:pStyle w:val="stBilgi"/>
      <w:framePr w:w="6688" w:hSpace="141" w:wrap="notBeside" w:vAnchor="page" w:hAnchor="page" w:x="2590" w:y="631"/>
      <w:jc w:val="center"/>
      <w:rPr>
        <w:rFonts w:ascii="Times New Roman" w:hAnsi="Times New Roman" w:cs="Times New Roman"/>
        <w:b/>
        <w:sz w:val="24"/>
      </w:rPr>
    </w:pPr>
    <w:r w:rsidRPr="000A08E5">
      <w:rPr>
        <w:rFonts w:ascii="Times New Roman" w:hAnsi="Times New Roman" w:cs="Times New Roman"/>
        <w:b/>
        <w:sz w:val="24"/>
      </w:rPr>
      <w:t>TARIM ve ORMAN BAKANLIĞI</w:t>
    </w:r>
  </w:p>
  <w:p w14:paraId="747C94F7" w14:textId="77777777" w:rsidR="00A57DFA" w:rsidRPr="000A08E5" w:rsidRDefault="00A57DFA" w:rsidP="00A57DFA">
    <w:pPr>
      <w:pStyle w:val="stBilgi"/>
      <w:framePr w:w="6688" w:hSpace="141" w:wrap="notBeside" w:vAnchor="page" w:hAnchor="page" w:x="2590" w:y="631"/>
      <w:jc w:val="center"/>
      <w:rPr>
        <w:rFonts w:ascii="Times New Roman" w:hAnsi="Times New Roman" w:cs="Times New Roman"/>
        <w:sz w:val="24"/>
      </w:rPr>
    </w:pPr>
    <w:r w:rsidRPr="000A08E5">
      <w:rPr>
        <w:rFonts w:ascii="Times New Roman" w:hAnsi="Times New Roman" w:cs="Times New Roman"/>
        <w:b/>
        <w:sz w:val="24"/>
      </w:rPr>
      <w:t>Gıda ve Kontrol Genel Müdürlüğü</w:t>
    </w:r>
  </w:p>
  <w:p w14:paraId="6A6BB606" w14:textId="77777777" w:rsidR="00A57DFA" w:rsidRDefault="00A57DFA" w:rsidP="00A57DFA">
    <w:pPr>
      <w:framePr w:w="6688" w:hSpace="141" w:wrap="notBeside" w:vAnchor="page" w:hAnchor="page" w:x="2590" w:y="631"/>
      <w:pBdr>
        <w:bottom w:val="single" w:sz="6" w:space="1" w:color="auto"/>
      </w:pBdr>
      <w:jc w:val="center"/>
      <w:rPr>
        <w:b/>
      </w:rPr>
    </w:pPr>
  </w:p>
  <w:p w14:paraId="4A07E817" w14:textId="0CFAA0A2" w:rsidR="009C516A" w:rsidRDefault="00A57DFA" w:rsidP="00115D4F">
    <w:pPr>
      <w:pStyle w:val="stBilgi"/>
    </w:pPr>
    <w:r>
      <w:rPr>
        <w:noProof/>
        <w:sz w:val="20"/>
        <w:szCs w:val="20"/>
        <w:lang w:eastAsia="tr-TR"/>
      </w:rPr>
      <w:drawing>
        <wp:anchor distT="0" distB="0" distL="114300" distR="114300" simplePos="0" relativeHeight="251659264" behindDoc="1" locked="0" layoutInCell="1" allowOverlap="1" wp14:anchorId="05F11AA2" wp14:editId="24F99896">
          <wp:simplePos x="0" y="0"/>
          <wp:positionH relativeFrom="column">
            <wp:posOffset>-366395</wp:posOffset>
          </wp:positionH>
          <wp:positionV relativeFrom="paragraph">
            <wp:posOffset>-153670</wp:posOffset>
          </wp:positionV>
          <wp:extent cx="951218" cy="942244"/>
          <wp:effectExtent l="0" t="0" r="190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1218" cy="9422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D1C7B"/>
    <w:multiLevelType w:val="multilevel"/>
    <w:tmpl w:val="A972F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87D"/>
    <w:rsid w:val="000026ED"/>
    <w:rsid w:val="00020E86"/>
    <w:rsid w:val="00041400"/>
    <w:rsid w:val="00046F65"/>
    <w:rsid w:val="00052746"/>
    <w:rsid w:val="000915D7"/>
    <w:rsid w:val="000A0F32"/>
    <w:rsid w:val="000B7F36"/>
    <w:rsid w:val="000C07C9"/>
    <w:rsid w:val="000C1B74"/>
    <w:rsid w:val="000F3446"/>
    <w:rsid w:val="00112DA9"/>
    <w:rsid w:val="00115D4F"/>
    <w:rsid w:val="001313C5"/>
    <w:rsid w:val="0015571B"/>
    <w:rsid w:val="001A369E"/>
    <w:rsid w:val="00207E89"/>
    <w:rsid w:val="00264771"/>
    <w:rsid w:val="0028021A"/>
    <w:rsid w:val="002B5BE8"/>
    <w:rsid w:val="002F462E"/>
    <w:rsid w:val="00336BE2"/>
    <w:rsid w:val="00411FC5"/>
    <w:rsid w:val="00413428"/>
    <w:rsid w:val="00462FE4"/>
    <w:rsid w:val="004C27D4"/>
    <w:rsid w:val="004D1731"/>
    <w:rsid w:val="004D5BB9"/>
    <w:rsid w:val="004E108C"/>
    <w:rsid w:val="004E6787"/>
    <w:rsid w:val="004F6DB3"/>
    <w:rsid w:val="004F7134"/>
    <w:rsid w:val="005044F4"/>
    <w:rsid w:val="00550A4B"/>
    <w:rsid w:val="00570B03"/>
    <w:rsid w:val="006216A3"/>
    <w:rsid w:val="0065154C"/>
    <w:rsid w:val="00665831"/>
    <w:rsid w:val="00691598"/>
    <w:rsid w:val="006C235B"/>
    <w:rsid w:val="006F709C"/>
    <w:rsid w:val="00710ED4"/>
    <w:rsid w:val="00723FB8"/>
    <w:rsid w:val="00735019"/>
    <w:rsid w:val="00770F7A"/>
    <w:rsid w:val="00782D8A"/>
    <w:rsid w:val="007F4E0F"/>
    <w:rsid w:val="00841952"/>
    <w:rsid w:val="00843B00"/>
    <w:rsid w:val="00846F02"/>
    <w:rsid w:val="00864D2C"/>
    <w:rsid w:val="00881A97"/>
    <w:rsid w:val="008A387D"/>
    <w:rsid w:val="009459BE"/>
    <w:rsid w:val="009A1789"/>
    <w:rsid w:val="009B18FC"/>
    <w:rsid w:val="009B6A56"/>
    <w:rsid w:val="009C516A"/>
    <w:rsid w:val="009F7F21"/>
    <w:rsid w:val="00A41688"/>
    <w:rsid w:val="00A57DFA"/>
    <w:rsid w:val="00A874CD"/>
    <w:rsid w:val="00A945BE"/>
    <w:rsid w:val="00AA0B69"/>
    <w:rsid w:val="00AB4FC5"/>
    <w:rsid w:val="00AE4F26"/>
    <w:rsid w:val="00B46380"/>
    <w:rsid w:val="00B63F11"/>
    <w:rsid w:val="00B70FFA"/>
    <w:rsid w:val="00BA4560"/>
    <w:rsid w:val="00BC604D"/>
    <w:rsid w:val="00BE1BC7"/>
    <w:rsid w:val="00C4004B"/>
    <w:rsid w:val="00C41C02"/>
    <w:rsid w:val="00C8498E"/>
    <w:rsid w:val="00C94279"/>
    <w:rsid w:val="00CC575F"/>
    <w:rsid w:val="00CF4BF6"/>
    <w:rsid w:val="00CF7C4E"/>
    <w:rsid w:val="00D368FA"/>
    <w:rsid w:val="00D92366"/>
    <w:rsid w:val="00DA12D3"/>
    <w:rsid w:val="00DE355C"/>
    <w:rsid w:val="00DF1909"/>
    <w:rsid w:val="00ED774B"/>
    <w:rsid w:val="00EF3572"/>
    <w:rsid w:val="00F03CA8"/>
    <w:rsid w:val="00F15840"/>
    <w:rsid w:val="00F4407E"/>
    <w:rsid w:val="00F47AE7"/>
    <w:rsid w:val="00F630DD"/>
    <w:rsid w:val="00F77E79"/>
    <w:rsid w:val="00FB3AD1"/>
    <w:rsid w:val="00FC6DFA"/>
    <w:rsid w:val="00FE65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01504"/>
  <w15:chartTrackingRefBased/>
  <w15:docId w15:val="{3F0E7C33-D90E-4FB7-9F88-021A70C6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F7F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qFormat/>
    <w:rsid w:val="009F7F2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9F7F2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F7F21"/>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9F7F21"/>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9F7F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9F7F21"/>
    <w:rPr>
      <w:i/>
      <w:iCs/>
    </w:rPr>
  </w:style>
  <w:style w:type="character" w:styleId="Gl">
    <w:name w:val="Strong"/>
    <w:basedOn w:val="VarsaylanParagrafYazTipi"/>
    <w:uiPriority w:val="22"/>
    <w:qFormat/>
    <w:rsid w:val="009F7F21"/>
    <w:rPr>
      <w:b/>
      <w:bCs/>
    </w:rPr>
  </w:style>
  <w:style w:type="character" w:customStyle="1" w:styleId="whitespace-normal">
    <w:name w:val="whitespace-normal"/>
    <w:basedOn w:val="VarsaylanParagrafYazTipi"/>
    <w:rsid w:val="009F7F21"/>
  </w:style>
  <w:style w:type="character" w:customStyle="1" w:styleId="Balk1Char">
    <w:name w:val="Başlık 1 Char"/>
    <w:basedOn w:val="VarsaylanParagrafYazTipi"/>
    <w:link w:val="Balk1"/>
    <w:uiPriority w:val="9"/>
    <w:rsid w:val="009F7F21"/>
    <w:rPr>
      <w:rFonts w:asciiTheme="majorHAnsi" w:eastAsiaTheme="majorEastAsia" w:hAnsiTheme="majorHAnsi" w:cstheme="majorBidi"/>
      <w:color w:val="2F5496" w:themeColor="accent1" w:themeShade="BF"/>
      <w:sz w:val="32"/>
      <w:szCs w:val="32"/>
    </w:rPr>
  </w:style>
  <w:style w:type="character" w:customStyle="1" w:styleId="apple-tab-span">
    <w:name w:val="apple-tab-span"/>
    <w:basedOn w:val="VarsaylanParagrafYazTipi"/>
    <w:rsid w:val="00F77E79"/>
  </w:style>
  <w:style w:type="paragraph" w:styleId="stBilgi">
    <w:name w:val="header"/>
    <w:basedOn w:val="Normal"/>
    <w:link w:val="stBilgiChar"/>
    <w:uiPriority w:val="99"/>
    <w:unhideWhenUsed/>
    <w:rsid w:val="009C51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516A"/>
  </w:style>
  <w:style w:type="paragraph" w:styleId="AltBilgi">
    <w:name w:val="footer"/>
    <w:basedOn w:val="Normal"/>
    <w:link w:val="AltBilgiChar"/>
    <w:uiPriority w:val="99"/>
    <w:unhideWhenUsed/>
    <w:rsid w:val="009C51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516A"/>
  </w:style>
  <w:style w:type="character" w:styleId="AklamaBavurusu">
    <w:name w:val="annotation reference"/>
    <w:basedOn w:val="VarsaylanParagrafYazTipi"/>
    <w:uiPriority w:val="99"/>
    <w:semiHidden/>
    <w:unhideWhenUsed/>
    <w:rsid w:val="00CF4BF6"/>
    <w:rPr>
      <w:sz w:val="16"/>
      <w:szCs w:val="16"/>
    </w:rPr>
  </w:style>
  <w:style w:type="paragraph" w:styleId="AklamaMetni">
    <w:name w:val="annotation text"/>
    <w:basedOn w:val="Normal"/>
    <w:link w:val="AklamaMetniChar"/>
    <w:uiPriority w:val="99"/>
    <w:semiHidden/>
    <w:unhideWhenUsed/>
    <w:rsid w:val="00CF4BF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F4BF6"/>
    <w:rPr>
      <w:sz w:val="20"/>
      <w:szCs w:val="20"/>
    </w:rPr>
  </w:style>
  <w:style w:type="paragraph" w:styleId="AklamaKonusu">
    <w:name w:val="annotation subject"/>
    <w:basedOn w:val="AklamaMetni"/>
    <w:next w:val="AklamaMetni"/>
    <w:link w:val="AklamaKonusuChar"/>
    <w:uiPriority w:val="99"/>
    <w:semiHidden/>
    <w:unhideWhenUsed/>
    <w:rsid w:val="00CF4BF6"/>
    <w:rPr>
      <w:b/>
      <w:bCs/>
    </w:rPr>
  </w:style>
  <w:style w:type="character" w:customStyle="1" w:styleId="AklamaKonusuChar">
    <w:name w:val="Açıklama Konusu Char"/>
    <w:basedOn w:val="AklamaMetniChar"/>
    <w:link w:val="AklamaKonusu"/>
    <w:uiPriority w:val="99"/>
    <w:semiHidden/>
    <w:rsid w:val="00CF4BF6"/>
    <w:rPr>
      <w:b/>
      <w:bCs/>
      <w:sz w:val="20"/>
      <w:szCs w:val="20"/>
    </w:rPr>
  </w:style>
  <w:style w:type="paragraph" w:styleId="BalonMetni">
    <w:name w:val="Balloon Text"/>
    <w:basedOn w:val="Normal"/>
    <w:link w:val="BalonMetniChar"/>
    <w:uiPriority w:val="99"/>
    <w:semiHidden/>
    <w:unhideWhenUsed/>
    <w:rsid w:val="00CF4BF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4BF6"/>
    <w:rPr>
      <w:rFonts w:ascii="Segoe UI" w:hAnsi="Segoe UI" w:cs="Segoe UI"/>
      <w:sz w:val="18"/>
      <w:szCs w:val="18"/>
    </w:rPr>
  </w:style>
  <w:style w:type="character" w:styleId="Kpr">
    <w:name w:val="Hyperlink"/>
    <w:basedOn w:val="VarsaylanParagrafYazTipi"/>
    <w:uiPriority w:val="99"/>
    <w:unhideWhenUsed/>
    <w:rsid w:val="000F3446"/>
    <w:rPr>
      <w:color w:val="0563C1" w:themeColor="hyperlink"/>
      <w:u w:val="single"/>
    </w:rPr>
  </w:style>
  <w:style w:type="character" w:customStyle="1" w:styleId="zmlenmeyenBahsetme1">
    <w:name w:val="Çözümlenmeyen Bahsetme1"/>
    <w:basedOn w:val="VarsaylanParagrafYazTipi"/>
    <w:uiPriority w:val="99"/>
    <w:semiHidden/>
    <w:unhideWhenUsed/>
    <w:rsid w:val="000F3446"/>
    <w:rPr>
      <w:color w:val="605E5C"/>
      <w:shd w:val="clear" w:color="auto" w:fill="E1DFDD"/>
    </w:rPr>
  </w:style>
  <w:style w:type="character" w:styleId="DipnotBavurusu">
    <w:name w:val="footnote reference"/>
    <w:semiHidden/>
    <w:rsid w:val="00770F7A"/>
    <w:rPr>
      <w:vertAlign w:val="superscript"/>
    </w:rPr>
  </w:style>
  <w:style w:type="paragraph" w:styleId="DipnotMetni">
    <w:name w:val="footnote text"/>
    <w:basedOn w:val="Normal"/>
    <w:link w:val="DipnotMetniChar"/>
    <w:uiPriority w:val="99"/>
    <w:semiHidden/>
    <w:unhideWhenUsed/>
    <w:rsid w:val="0005274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52746"/>
    <w:rPr>
      <w:sz w:val="20"/>
      <w:szCs w:val="20"/>
    </w:rPr>
  </w:style>
  <w:style w:type="character" w:styleId="zmlenmeyenBahsetme">
    <w:name w:val="Unresolved Mention"/>
    <w:basedOn w:val="VarsaylanParagrafYazTipi"/>
    <w:uiPriority w:val="99"/>
    <w:semiHidden/>
    <w:unhideWhenUsed/>
    <w:rsid w:val="00BA4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8780">
      <w:bodyDiv w:val="1"/>
      <w:marLeft w:val="0"/>
      <w:marRight w:val="0"/>
      <w:marTop w:val="0"/>
      <w:marBottom w:val="0"/>
      <w:divBdr>
        <w:top w:val="none" w:sz="0" w:space="0" w:color="auto"/>
        <w:left w:val="none" w:sz="0" w:space="0" w:color="auto"/>
        <w:bottom w:val="none" w:sz="0" w:space="0" w:color="auto"/>
        <w:right w:val="none" w:sz="0" w:space="0" w:color="auto"/>
      </w:divBdr>
    </w:div>
    <w:div w:id="277107332">
      <w:bodyDiv w:val="1"/>
      <w:marLeft w:val="0"/>
      <w:marRight w:val="0"/>
      <w:marTop w:val="0"/>
      <w:marBottom w:val="0"/>
      <w:divBdr>
        <w:top w:val="none" w:sz="0" w:space="0" w:color="auto"/>
        <w:left w:val="none" w:sz="0" w:space="0" w:color="auto"/>
        <w:bottom w:val="none" w:sz="0" w:space="0" w:color="auto"/>
        <w:right w:val="none" w:sz="0" w:space="0" w:color="auto"/>
      </w:divBdr>
    </w:div>
    <w:div w:id="280646810">
      <w:bodyDiv w:val="1"/>
      <w:marLeft w:val="0"/>
      <w:marRight w:val="0"/>
      <w:marTop w:val="0"/>
      <w:marBottom w:val="0"/>
      <w:divBdr>
        <w:top w:val="none" w:sz="0" w:space="0" w:color="auto"/>
        <w:left w:val="none" w:sz="0" w:space="0" w:color="auto"/>
        <w:bottom w:val="none" w:sz="0" w:space="0" w:color="auto"/>
        <w:right w:val="none" w:sz="0" w:space="0" w:color="auto"/>
      </w:divBdr>
    </w:div>
    <w:div w:id="558134375">
      <w:bodyDiv w:val="1"/>
      <w:marLeft w:val="0"/>
      <w:marRight w:val="0"/>
      <w:marTop w:val="0"/>
      <w:marBottom w:val="0"/>
      <w:divBdr>
        <w:top w:val="none" w:sz="0" w:space="0" w:color="auto"/>
        <w:left w:val="none" w:sz="0" w:space="0" w:color="auto"/>
        <w:bottom w:val="none" w:sz="0" w:space="0" w:color="auto"/>
        <w:right w:val="none" w:sz="0" w:space="0" w:color="auto"/>
      </w:divBdr>
    </w:div>
    <w:div w:id="566575311">
      <w:bodyDiv w:val="1"/>
      <w:marLeft w:val="0"/>
      <w:marRight w:val="0"/>
      <w:marTop w:val="0"/>
      <w:marBottom w:val="0"/>
      <w:divBdr>
        <w:top w:val="none" w:sz="0" w:space="0" w:color="auto"/>
        <w:left w:val="none" w:sz="0" w:space="0" w:color="auto"/>
        <w:bottom w:val="none" w:sz="0" w:space="0" w:color="auto"/>
        <w:right w:val="none" w:sz="0" w:space="0" w:color="auto"/>
      </w:divBdr>
    </w:div>
    <w:div w:id="606698499">
      <w:bodyDiv w:val="1"/>
      <w:marLeft w:val="0"/>
      <w:marRight w:val="0"/>
      <w:marTop w:val="0"/>
      <w:marBottom w:val="0"/>
      <w:divBdr>
        <w:top w:val="none" w:sz="0" w:space="0" w:color="auto"/>
        <w:left w:val="none" w:sz="0" w:space="0" w:color="auto"/>
        <w:bottom w:val="none" w:sz="0" w:space="0" w:color="auto"/>
        <w:right w:val="none" w:sz="0" w:space="0" w:color="auto"/>
      </w:divBdr>
    </w:div>
    <w:div w:id="614216649">
      <w:bodyDiv w:val="1"/>
      <w:marLeft w:val="0"/>
      <w:marRight w:val="0"/>
      <w:marTop w:val="0"/>
      <w:marBottom w:val="0"/>
      <w:divBdr>
        <w:top w:val="none" w:sz="0" w:space="0" w:color="auto"/>
        <w:left w:val="none" w:sz="0" w:space="0" w:color="auto"/>
        <w:bottom w:val="none" w:sz="0" w:space="0" w:color="auto"/>
        <w:right w:val="none" w:sz="0" w:space="0" w:color="auto"/>
      </w:divBdr>
    </w:div>
    <w:div w:id="697630996">
      <w:bodyDiv w:val="1"/>
      <w:marLeft w:val="0"/>
      <w:marRight w:val="0"/>
      <w:marTop w:val="0"/>
      <w:marBottom w:val="0"/>
      <w:divBdr>
        <w:top w:val="none" w:sz="0" w:space="0" w:color="auto"/>
        <w:left w:val="none" w:sz="0" w:space="0" w:color="auto"/>
        <w:bottom w:val="none" w:sz="0" w:space="0" w:color="auto"/>
        <w:right w:val="none" w:sz="0" w:space="0" w:color="auto"/>
      </w:divBdr>
    </w:div>
    <w:div w:id="846215078">
      <w:bodyDiv w:val="1"/>
      <w:marLeft w:val="0"/>
      <w:marRight w:val="0"/>
      <w:marTop w:val="0"/>
      <w:marBottom w:val="0"/>
      <w:divBdr>
        <w:top w:val="none" w:sz="0" w:space="0" w:color="auto"/>
        <w:left w:val="none" w:sz="0" w:space="0" w:color="auto"/>
        <w:bottom w:val="none" w:sz="0" w:space="0" w:color="auto"/>
        <w:right w:val="none" w:sz="0" w:space="0" w:color="auto"/>
      </w:divBdr>
    </w:div>
    <w:div w:id="903369698">
      <w:bodyDiv w:val="1"/>
      <w:marLeft w:val="0"/>
      <w:marRight w:val="0"/>
      <w:marTop w:val="0"/>
      <w:marBottom w:val="0"/>
      <w:divBdr>
        <w:top w:val="none" w:sz="0" w:space="0" w:color="auto"/>
        <w:left w:val="none" w:sz="0" w:space="0" w:color="auto"/>
        <w:bottom w:val="none" w:sz="0" w:space="0" w:color="auto"/>
        <w:right w:val="none" w:sz="0" w:space="0" w:color="auto"/>
      </w:divBdr>
    </w:div>
    <w:div w:id="1093748910">
      <w:bodyDiv w:val="1"/>
      <w:marLeft w:val="0"/>
      <w:marRight w:val="0"/>
      <w:marTop w:val="0"/>
      <w:marBottom w:val="0"/>
      <w:divBdr>
        <w:top w:val="none" w:sz="0" w:space="0" w:color="auto"/>
        <w:left w:val="none" w:sz="0" w:space="0" w:color="auto"/>
        <w:bottom w:val="none" w:sz="0" w:space="0" w:color="auto"/>
        <w:right w:val="none" w:sz="0" w:space="0" w:color="auto"/>
      </w:divBdr>
      <w:divsChild>
        <w:div w:id="1837768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776939">
      <w:bodyDiv w:val="1"/>
      <w:marLeft w:val="0"/>
      <w:marRight w:val="0"/>
      <w:marTop w:val="0"/>
      <w:marBottom w:val="0"/>
      <w:divBdr>
        <w:top w:val="none" w:sz="0" w:space="0" w:color="auto"/>
        <w:left w:val="none" w:sz="0" w:space="0" w:color="auto"/>
        <w:bottom w:val="none" w:sz="0" w:space="0" w:color="auto"/>
        <w:right w:val="none" w:sz="0" w:space="0" w:color="auto"/>
      </w:divBdr>
    </w:div>
    <w:div w:id="1249658076">
      <w:bodyDiv w:val="1"/>
      <w:marLeft w:val="0"/>
      <w:marRight w:val="0"/>
      <w:marTop w:val="0"/>
      <w:marBottom w:val="0"/>
      <w:divBdr>
        <w:top w:val="none" w:sz="0" w:space="0" w:color="auto"/>
        <w:left w:val="none" w:sz="0" w:space="0" w:color="auto"/>
        <w:bottom w:val="none" w:sz="0" w:space="0" w:color="auto"/>
        <w:right w:val="none" w:sz="0" w:space="0" w:color="auto"/>
      </w:divBdr>
    </w:div>
    <w:div w:id="1322975311">
      <w:bodyDiv w:val="1"/>
      <w:marLeft w:val="0"/>
      <w:marRight w:val="0"/>
      <w:marTop w:val="0"/>
      <w:marBottom w:val="0"/>
      <w:divBdr>
        <w:top w:val="none" w:sz="0" w:space="0" w:color="auto"/>
        <w:left w:val="none" w:sz="0" w:space="0" w:color="auto"/>
        <w:bottom w:val="none" w:sz="0" w:space="0" w:color="auto"/>
        <w:right w:val="none" w:sz="0" w:space="0" w:color="auto"/>
      </w:divBdr>
    </w:div>
    <w:div w:id="1407609194">
      <w:bodyDiv w:val="1"/>
      <w:marLeft w:val="0"/>
      <w:marRight w:val="0"/>
      <w:marTop w:val="0"/>
      <w:marBottom w:val="0"/>
      <w:divBdr>
        <w:top w:val="none" w:sz="0" w:space="0" w:color="auto"/>
        <w:left w:val="none" w:sz="0" w:space="0" w:color="auto"/>
        <w:bottom w:val="none" w:sz="0" w:space="0" w:color="auto"/>
        <w:right w:val="none" w:sz="0" w:space="0" w:color="auto"/>
      </w:divBdr>
    </w:div>
    <w:div w:id="1650789184">
      <w:bodyDiv w:val="1"/>
      <w:marLeft w:val="0"/>
      <w:marRight w:val="0"/>
      <w:marTop w:val="0"/>
      <w:marBottom w:val="0"/>
      <w:divBdr>
        <w:top w:val="none" w:sz="0" w:space="0" w:color="auto"/>
        <w:left w:val="none" w:sz="0" w:space="0" w:color="auto"/>
        <w:bottom w:val="none" w:sz="0" w:space="0" w:color="auto"/>
        <w:right w:val="none" w:sz="0" w:space="0" w:color="auto"/>
      </w:divBdr>
    </w:div>
    <w:div w:id="1722246582">
      <w:bodyDiv w:val="1"/>
      <w:marLeft w:val="0"/>
      <w:marRight w:val="0"/>
      <w:marTop w:val="0"/>
      <w:marBottom w:val="0"/>
      <w:divBdr>
        <w:top w:val="none" w:sz="0" w:space="0" w:color="auto"/>
        <w:left w:val="none" w:sz="0" w:space="0" w:color="auto"/>
        <w:bottom w:val="none" w:sz="0" w:space="0" w:color="auto"/>
        <w:right w:val="none" w:sz="0" w:space="0" w:color="auto"/>
      </w:divBdr>
    </w:div>
    <w:div w:id="1811746133">
      <w:bodyDiv w:val="1"/>
      <w:marLeft w:val="0"/>
      <w:marRight w:val="0"/>
      <w:marTop w:val="0"/>
      <w:marBottom w:val="0"/>
      <w:divBdr>
        <w:top w:val="none" w:sz="0" w:space="0" w:color="auto"/>
        <w:left w:val="none" w:sz="0" w:space="0" w:color="auto"/>
        <w:bottom w:val="none" w:sz="0" w:space="0" w:color="auto"/>
        <w:right w:val="none" w:sz="0" w:space="0" w:color="auto"/>
      </w:divBdr>
    </w:div>
    <w:div w:id="1860463740">
      <w:bodyDiv w:val="1"/>
      <w:marLeft w:val="0"/>
      <w:marRight w:val="0"/>
      <w:marTop w:val="0"/>
      <w:marBottom w:val="0"/>
      <w:divBdr>
        <w:top w:val="none" w:sz="0" w:space="0" w:color="auto"/>
        <w:left w:val="none" w:sz="0" w:space="0" w:color="auto"/>
        <w:bottom w:val="none" w:sz="0" w:space="0" w:color="auto"/>
        <w:right w:val="none" w:sz="0" w:space="0" w:color="auto"/>
      </w:divBdr>
    </w:div>
    <w:div w:id="1901404696">
      <w:bodyDiv w:val="1"/>
      <w:marLeft w:val="0"/>
      <w:marRight w:val="0"/>
      <w:marTop w:val="0"/>
      <w:marBottom w:val="0"/>
      <w:divBdr>
        <w:top w:val="none" w:sz="0" w:space="0" w:color="auto"/>
        <w:left w:val="none" w:sz="0" w:space="0" w:color="auto"/>
        <w:bottom w:val="none" w:sz="0" w:space="0" w:color="auto"/>
        <w:right w:val="none" w:sz="0" w:space="0" w:color="auto"/>
      </w:divBdr>
    </w:div>
    <w:div w:id="1913153866">
      <w:bodyDiv w:val="1"/>
      <w:marLeft w:val="0"/>
      <w:marRight w:val="0"/>
      <w:marTop w:val="0"/>
      <w:marBottom w:val="0"/>
      <w:divBdr>
        <w:top w:val="none" w:sz="0" w:space="0" w:color="auto"/>
        <w:left w:val="none" w:sz="0" w:space="0" w:color="auto"/>
        <w:bottom w:val="none" w:sz="0" w:space="0" w:color="auto"/>
        <w:right w:val="none" w:sz="0" w:space="0" w:color="auto"/>
      </w:divBdr>
    </w:div>
    <w:div w:id="1969629971">
      <w:bodyDiv w:val="1"/>
      <w:marLeft w:val="0"/>
      <w:marRight w:val="0"/>
      <w:marTop w:val="0"/>
      <w:marBottom w:val="0"/>
      <w:divBdr>
        <w:top w:val="none" w:sz="0" w:space="0" w:color="auto"/>
        <w:left w:val="none" w:sz="0" w:space="0" w:color="auto"/>
        <w:bottom w:val="none" w:sz="0" w:space="0" w:color="auto"/>
        <w:right w:val="none" w:sz="0" w:space="0" w:color="auto"/>
      </w:divBdr>
    </w:div>
    <w:div w:id="20290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3.epa.gov/pesticides/endanger/litstatus/effects/redleg-frog/naled/appendix-i.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3.epa.gov/pesticides/endanger/litstatus/effects/redleg-frog/naled/appendix-i.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gyei.gov.hu"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yprolidi.cz" TargetMode="External"/><Relationship Id="rId5" Type="http://schemas.openxmlformats.org/officeDocument/2006/relationships/webSettings" Target="webSettings.xml"/><Relationship Id="rId15" Type="http://schemas.openxmlformats.org/officeDocument/2006/relationships/hyperlink" Target="https://www.salute.gov.it" TargetMode="External"/><Relationship Id="rId10" Type="http://schemas.openxmlformats.org/officeDocument/2006/relationships/hyperlink" Target="https://doi.org/10.1016/j.fct.2022.113341"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o.drugbank.com/drugs/DB141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93144B77FFA00440B9651D0822484556" ma:contentTypeVersion="2" ma:contentTypeDescription="Yeni belge oluşturun." ma:contentTypeScope="" ma:versionID="eec0096faabd3ba53baa7c755a01aeaf">
  <xsd:schema xmlns:xsd="http://www.w3.org/2001/XMLSchema" xmlns:xs="http://www.w3.org/2001/XMLSchema" xmlns:p="http://schemas.microsoft.com/office/2006/metadata/properties" xmlns:ns1="http://schemas.microsoft.com/sharepoint/v3" xmlns:ns2="c034e76e-6b92-4367-b9e6-01ca974a287c" targetNamespace="http://schemas.microsoft.com/office/2006/metadata/properties" ma:root="true" ma:fieldsID="f559cc6243c41cc2e7354bfdb5480efe" ns1:_="" ns2:_="">
    <xsd:import namespace="http://schemas.microsoft.com/sharepoint/v3"/>
    <xsd:import namespace="c034e76e-6b92-4367-b9e6-01ca974a287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34e76e-6b92-4367-b9e6-01ca974a287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c034e76e-6b92-4367-b9e6-01ca974a287c"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18D54A-BDB2-493B-8BCE-B1069F8ADEF6}">
  <ds:schemaRefs>
    <ds:schemaRef ds:uri="http://schemas.openxmlformats.org/officeDocument/2006/bibliography"/>
  </ds:schemaRefs>
</ds:datastoreItem>
</file>

<file path=customXml/itemProps2.xml><?xml version="1.0" encoding="utf-8"?>
<ds:datastoreItem xmlns:ds="http://schemas.openxmlformats.org/officeDocument/2006/customXml" ds:itemID="{40420E57-988A-4965-B96C-84ED821FAFD2}"/>
</file>

<file path=customXml/itemProps3.xml><?xml version="1.0" encoding="utf-8"?>
<ds:datastoreItem xmlns:ds="http://schemas.openxmlformats.org/officeDocument/2006/customXml" ds:itemID="{7519426D-2D03-4372-9E5B-9F76D08E501E}"/>
</file>

<file path=customXml/itemProps4.xml><?xml version="1.0" encoding="utf-8"?>
<ds:datastoreItem xmlns:ds="http://schemas.openxmlformats.org/officeDocument/2006/customXml" ds:itemID="{1CB80AC5-92D8-4C12-A51F-F9F087EF2EBB}"/>
</file>

<file path=docProps/app.xml><?xml version="1.0" encoding="utf-8"?>
<Properties xmlns="http://schemas.openxmlformats.org/officeDocument/2006/extended-properties" xmlns:vt="http://schemas.openxmlformats.org/officeDocument/2006/docPropsVTypes">
  <Template>Normal</Template>
  <TotalTime>17</TotalTime>
  <Pages>21</Pages>
  <Words>6463</Words>
  <Characters>36844</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Melike TAŞKIRAN</dc:creator>
  <cp:keywords/>
  <dc:description/>
  <cp:lastModifiedBy>Melike TAŞKIRAN</cp:lastModifiedBy>
  <cp:revision>4</cp:revision>
  <dcterms:created xsi:type="dcterms:W3CDTF">2026-05-06T12:51:00Z</dcterms:created>
  <dcterms:modified xsi:type="dcterms:W3CDTF">2026-05-07T07:29:00Z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0x01010093144B77FFA00440B9651D0822484556</vt:lpwstr>
  </property>
</Properties>
</file>