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AE" w:rsidRDefault="00E130B6" w:rsidP="00842872">
      <w:pPr>
        <w:spacing w:after="40" w:line="288" w:lineRule="auto"/>
      </w:pPr>
      <w:r>
        <w:t xml:space="preserve"> </w:t>
      </w:r>
      <w:proofErr w:type="gramStart"/>
      <w:r w:rsidR="00A70FAE">
        <w:t>8/9/2007</w:t>
      </w:r>
      <w:proofErr w:type="gramEnd"/>
      <w:r w:rsidR="00A70FAE">
        <w:t xml:space="preserve"> tarihli ve 26637 sayılı Resm</w:t>
      </w:r>
      <w:r w:rsidR="00ED35C5">
        <w:t>î</w:t>
      </w:r>
      <w:r w:rsidR="00A70FAE">
        <w:t xml:space="preserve"> </w:t>
      </w:r>
      <w:proofErr w:type="spellStart"/>
      <w:r w:rsidR="00A70FAE">
        <w:t>Gazete’de</w:t>
      </w:r>
      <w:proofErr w:type="spellEnd"/>
      <w:r w:rsidR="00A70FAE">
        <w:t xml:space="preserve"> yayımlanmıştır.</w:t>
      </w:r>
    </w:p>
    <w:p w:rsidR="00A70FAE" w:rsidRDefault="00A70FAE" w:rsidP="00842872">
      <w:pPr>
        <w:spacing w:after="40" w:line="288" w:lineRule="auto"/>
      </w:pPr>
    </w:p>
    <w:p w:rsidR="00A70FAE" w:rsidRDefault="00A70FAE" w:rsidP="00E130B6">
      <w:pPr>
        <w:pStyle w:val="Balk2"/>
        <w:spacing w:after="40" w:line="288" w:lineRule="auto"/>
        <w:jc w:val="center"/>
      </w:pPr>
      <w:r w:rsidRPr="00667612">
        <w:rPr>
          <w:szCs w:val="24"/>
        </w:rPr>
        <w:t>MUHASEBAT GENEL MÜDÜRLÜĞÜ GENEL TEBLİĞİ</w:t>
      </w:r>
      <w:r w:rsidR="00E130B6">
        <w:rPr>
          <w:szCs w:val="24"/>
        </w:rPr>
        <w:t xml:space="preserve"> </w:t>
      </w:r>
      <w:r w:rsidRPr="00667612">
        <w:t>(SIRA NO:</w:t>
      </w:r>
      <w:r>
        <w:t>27</w:t>
      </w:r>
      <w:r w:rsidRPr="00667612">
        <w:t>)</w:t>
      </w:r>
    </w:p>
    <w:p w:rsidR="00A70FAE" w:rsidRDefault="00A70FAE" w:rsidP="00842872">
      <w:pPr>
        <w:pStyle w:val="Balk8"/>
        <w:tabs>
          <w:tab w:val="left" w:pos="6015"/>
        </w:tabs>
        <w:spacing w:after="40" w:line="288" w:lineRule="auto"/>
        <w:rPr>
          <w:b/>
        </w:rPr>
      </w:pPr>
      <w:r w:rsidRPr="00F4693A">
        <w:rPr>
          <w:b/>
          <w:bCs/>
        </w:rPr>
        <w:t>İHTİYAÇ FAZLASI TAŞINIRLARIN BEDELSİZ DEVRİ</w:t>
      </w:r>
      <w:r>
        <w:rPr>
          <w:rStyle w:val="DipnotBavurusu"/>
          <w:b/>
          <w:bCs/>
        </w:rPr>
        <w:footnoteReference w:id="1"/>
      </w:r>
    </w:p>
    <w:p w:rsidR="00A70FAE" w:rsidRPr="00E130B6" w:rsidRDefault="00A70FAE" w:rsidP="00842872">
      <w:pPr>
        <w:pStyle w:val="Altbilgi"/>
        <w:tabs>
          <w:tab w:val="clear" w:pos="4536"/>
          <w:tab w:val="clear" w:pos="9072"/>
        </w:tabs>
        <w:spacing w:after="40" w:line="288" w:lineRule="auto"/>
        <w:rPr>
          <w:sz w:val="4"/>
        </w:rPr>
      </w:pPr>
    </w:p>
    <w:p w:rsidR="00A70FAE" w:rsidRDefault="00A70FAE" w:rsidP="00842872">
      <w:pPr>
        <w:pStyle w:val="Balk5"/>
        <w:numPr>
          <w:ilvl w:val="0"/>
          <w:numId w:val="1"/>
        </w:numPr>
        <w:spacing w:after="40" w:line="288" w:lineRule="auto"/>
      </w:pPr>
      <w:r>
        <w:t>Amaç, dayanak ve kapsam</w:t>
      </w:r>
    </w:p>
    <w:p w:rsidR="00A70FAE" w:rsidRDefault="00A70FAE" w:rsidP="00842872">
      <w:pPr>
        <w:spacing w:after="40" w:line="288" w:lineRule="auto"/>
        <w:ind w:firstLine="720"/>
        <w:jc w:val="both"/>
      </w:pPr>
      <w:r>
        <w:t xml:space="preserve">(1) Bu Tebliğ, düzenleyici ve denetleyici kurumlar hariç olmak üzere genel yönetim kapsamındaki kamu idarelerinin elinde bulunan ihtiyaç fazlası taşınırların, kapsamdaki diğer kamu idarelerine bedelsiz devredilmesine ilişkin </w:t>
      </w:r>
      <w:proofErr w:type="spellStart"/>
      <w:r>
        <w:t>usûl</w:t>
      </w:r>
      <w:proofErr w:type="spellEnd"/>
      <w:r>
        <w:t xml:space="preserve"> ve esaslar ile devredilemeyecek taşınırların belirlenmesi amacıyla, </w:t>
      </w:r>
      <w:proofErr w:type="gramStart"/>
      <w:r>
        <w:t>10/12/2003</w:t>
      </w:r>
      <w:proofErr w:type="gramEnd"/>
      <w:r>
        <w:t xml:space="preserve"> tarihli ve 5018 sayılı Kamu Malî Yönetimi ve Kontrol Kanununun 45 inci maddesi ile 2006/11545 sayılı Bakanlar Kurulu Kararıyla 18/1/2007 tarihli ve 26407 sayılı Resmî Gazetede yayımlanarak yürürlüğe konulan Taşınır Mal Yönetmeliğinin 31 inci maddesinin Bakanlığımıza verdiği yetkiye dayanılarak hazırlanmıştır.</w:t>
      </w:r>
    </w:p>
    <w:p w:rsidR="00A70FAE" w:rsidRPr="00E130B6" w:rsidRDefault="00A70FAE" w:rsidP="00842872">
      <w:pPr>
        <w:spacing w:after="40" w:line="288" w:lineRule="auto"/>
        <w:ind w:firstLine="720"/>
        <w:jc w:val="both"/>
        <w:rPr>
          <w:b/>
          <w:bCs/>
          <w:sz w:val="10"/>
        </w:rPr>
      </w:pPr>
    </w:p>
    <w:p w:rsidR="00A70FAE" w:rsidRDefault="00A70FAE" w:rsidP="00842872">
      <w:pPr>
        <w:numPr>
          <w:ilvl w:val="0"/>
          <w:numId w:val="1"/>
        </w:numPr>
        <w:spacing w:after="40" w:line="288" w:lineRule="auto"/>
        <w:jc w:val="both"/>
        <w:rPr>
          <w:b/>
          <w:bCs/>
        </w:rPr>
      </w:pPr>
      <w:r>
        <w:rPr>
          <w:b/>
          <w:bCs/>
        </w:rPr>
        <w:t xml:space="preserve">İhtiyaç fazlası taşınırlar ve bedelsiz devre ilişkin genel esaslar </w:t>
      </w:r>
    </w:p>
    <w:p w:rsidR="00A70FAE" w:rsidRDefault="00A70FAE" w:rsidP="00842872">
      <w:pPr>
        <w:tabs>
          <w:tab w:val="left" w:pos="567"/>
        </w:tabs>
        <w:spacing w:after="40" w:line="288" w:lineRule="auto"/>
        <w:ind w:firstLine="720"/>
        <w:jc w:val="both"/>
      </w:pPr>
      <w:r>
        <w:t xml:space="preserve">(1) 5018 sayılı Kanunla oluşturulan yeni malî yönetim sisteminde; kamu idarelerinin, ihtiyaçlarını stratejik planlarına, yıllık amaç ve hedefleri ile performans göstergelerine dayanarak planlamaları ve </w:t>
      </w:r>
      <w:proofErr w:type="spellStart"/>
      <w:r>
        <w:t>bütçeleştirmeleri</w:t>
      </w:r>
      <w:proofErr w:type="spellEnd"/>
      <w:r>
        <w:t xml:space="preserve">; sağlanan kaynakları etkin, verimli ve ekonomik bir şekilde kullanmaları temel ilkedir. </w:t>
      </w:r>
    </w:p>
    <w:p w:rsidR="00A70FAE" w:rsidRDefault="00A70FAE" w:rsidP="00842872">
      <w:pPr>
        <w:tabs>
          <w:tab w:val="left" w:pos="567"/>
        </w:tabs>
        <w:spacing w:after="40" w:line="288" w:lineRule="auto"/>
        <w:ind w:firstLine="720"/>
        <w:jc w:val="both"/>
        <w:rPr>
          <w:b/>
          <w:bCs/>
        </w:rPr>
      </w:pPr>
      <w:r>
        <w:t>(2) Adı geçen Kanunun 8 inci maddesinde, her türlü kamu kaynağının elde edilmesi ve kullanılmasında görevli ve yetkili olanların kaynakların etkili, ekonomik, verimli olarak elde edilmesinden ve kullanılm</w:t>
      </w:r>
      <w:bookmarkStart w:id="0" w:name="_GoBack"/>
      <w:bookmarkEnd w:id="0"/>
      <w:r>
        <w:t>asından</w:t>
      </w:r>
      <w:r>
        <w:rPr>
          <w:b/>
          <w:bCs/>
        </w:rPr>
        <w:t xml:space="preserve"> </w:t>
      </w:r>
      <w:r>
        <w:t>sorumlu ve bu hususlarda</w:t>
      </w:r>
      <w:r>
        <w:rPr>
          <w:b/>
          <w:bCs/>
        </w:rPr>
        <w:t xml:space="preserve"> </w:t>
      </w:r>
      <w:r>
        <w:t>yetkili kılınmış mercilere hesap vermek zorunda oldukları hükme bağlanmış; Taşınır Mal Yönetmeliğinin 5 inci maddesinde de bu husus vurgulanmıştır.</w:t>
      </w:r>
      <w:r>
        <w:rPr>
          <w:b/>
          <w:bCs/>
        </w:rPr>
        <w:t xml:space="preserve"> </w:t>
      </w:r>
    </w:p>
    <w:p w:rsidR="00A70FAE" w:rsidRDefault="00A70FAE" w:rsidP="00842872">
      <w:pPr>
        <w:widowControl w:val="0"/>
        <w:spacing w:after="40" w:line="288" w:lineRule="auto"/>
        <w:ind w:firstLine="709"/>
        <w:jc w:val="both"/>
        <w:rPr>
          <w:bCs/>
        </w:rPr>
      </w:pPr>
      <w:r>
        <w:t>(3) Bu çerçevede kamu idareleri, ihtiyaç fazlası taşınır oluşmaması için gerekli tedbirleri almakla yükümlüdürler.</w:t>
      </w:r>
      <w:r>
        <w:rPr>
          <w:bCs/>
        </w:rPr>
        <w:t xml:space="preserve"> </w:t>
      </w:r>
    </w:p>
    <w:p w:rsidR="00A70FAE" w:rsidRDefault="00A70FAE" w:rsidP="00842872">
      <w:pPr>
        <w:tabs>
          <w:tab w:val="left" w:pos="567"/>
        </w:tabs>
        <w:spacing w:after="40" w:line="288" w:lineRule="auto"/>
        <w:ind w:firstLine="720"/>
        <w:jc w:val="both"/>
      </w:pPr>
      <w:r>
        <w:t xml:space="preserve">(4) Bununla birlikte, zorunlu veya öngörülemeyen sebeplerle ortaya çıkan ve yapılan araştırma ve değerlendirmeler sonucunda idarenin merkez ve taşra birimleri itibarıyla kullanım </w:t>
      </w:r>
      <w:proofErr w:type="gramStart"/>
      <w:r>
        <w:t>imkanı</w:t>
      </w:r>
      <w:proofErr w:type="gramEnd"/>
      <w:r>
        <w:t xml:space="preserve"> olmadığı anlaşılan taşınırlar “ihtiyaç fazlası taşınır” olarak kabul edilecek ve diğer kamu idarelerine bu Tebliğde belirlenen </w:t>
      </w:r>
      <w:proofErr w:type="spellStart"/>
      <w:r>
        <w:t>usûl</w:t>
      </w:r>
      <w:proofErr w:type="spellEnd"/>
      <w:r>
        <w:t xml:space="preserve"> ve esaslara bağlı kalmak suretiyle bedelsiz devredebilecektir. Kamu idareleri, ihtiyaç duydukları taşınırları öncelikle diğer idarelerdeki ihtiyaç fazlası taşınırlardan karşılamak suretiyle temin etmeleri esas olup, bu şekilde karşılamaları halinde, satın alma yoluna gitmeyecekler ve bu ihtiyaçları için ödenek veya kaynak ayrılması talebinde bulunmayacaklardır.</w:t>
      </w:r>
    </w:p>
    <w:p w:rsidR="00A70FAE" w:rsidRDefault="00A70FAE" w:rsidP="00842872">
      <w:pPr>
        <w:tabs>
          <w:tab w:val="left" w:pos="567"/>
        </w:tabs>
        <w:spacing w:after="40" w:line="288" w:lineRule="auto"/>
        <w:ind w:firstLine="720"/>
        <w:jc w:val="both"/>
        <w:rPr>
          <w:bCs/>
        </w:rPr>
      </w:pPr>
      <w:r>
        <w:t xml:space="preserve"> </w:t>
      </w:r>
      <w:r>
        <w:rPr>
          <w:iCs/>
        </w:rPr>
        <w:t xml:space="preserve">(5) </w:t>
      </w:r>
      <w:r>
        <w:t xml:space="preserve">Kamu kaynağının verimli kullanılması ve kamuda tasarruf sağlanması bakımından ihtiyaç fazlası taşınırların kamu idareleri arasında bedelsiz devredilmesinin etkin bir şekilde uygulanması büyük önem taşımaktadır. </w:t>
      </w:r>
      <w:r>
        <w:rPr>
          <w:bCs/>
        </w:rPr>
        <w:t xml:space="preserve">Bu nedenle, Bakanlığımız (Muhasebat Genel Müdürlüğü) </w:t>
      </w:r>
      <w:hyperlink r:id="rId9" w:history="1">
        <w:r>
          <w:rPr>
            <w:rStyle w:val="Kpr"/>
          </w:rPr>
          <w:t>www.muhasebat.gov.tr</w:t>
        </w:r>
      </w:hyperlink>
      <w:r>
        <w:t xml:space="preserve"> web </w:t>
      </w:r>
      <w:r>
        <w:rPr>
          <w:bCs/>
        </w:rPr>
        <w:t xml:space="preserve">adresinde İhtiyaç Fazlası Taşınır Sorgu Ekranı oluşturulmuştur. </w:t>
      </w:r>
      <w:proofErr w:type="gramStart"/>
      <w:r>
        <w:rPr>
          <w:bCs/>
        </w:rPr>
        <w:t xml:space="preserve">Kamu idareleri, tespit etmiş oldukları ihtiyaç fazlası taşınırlarının girişlerini,  bu Tebliğin bedelsiz devre ilişkin şartlar başlıklı üçüncü bölümünün birinci fıkrasının (a) bendinin (3) numaralı alt bendinde belirtilen tüketim malzemeleri hariç olmak üzere, say2000i kapsamındaki muhasebe birimleri </w:t>
      </w:r>
      <w:r>
        <w:rPr>
          <w:bCs/>
        </w:rPr>
        <w:lastRenderedPageBreak/>
        <w:t xml:space="preserve">aracılığıyla İhtiyaç Fazlası Taşınır Sorgu Ekranı kullanılmak suretiyle bu ekranda yapılacak açıklamalar çerçevesinde gerçekleştireceklerdir. </w:t>
      </w:r>
      <w:proofErr w:type="gramEnd"/>
    </w:p>
    <w:p w:rsidR="00A70FAE" w:rsidRPr="00E130B6" w:rsidRDefault="00A70FAE" w:rsidP="00842872">
      <w:pPr>
        <w:tabs>
          <w:tab w:val="left" w:pos="567"/>
        </w:tabs>
        <w:spacing w:after="40" w:line="288" w:lineRule="auto"/>
        <w:ind w:firstLine="720"/>
        <w:jc w:val="both"/>
        <w:rPr>
          <w:iCs/>
          <w:sz w:val="14"/>
        </w:rPr>
      </w:pPr>
    </w:p>
    <w:p w:rsidR="00A70FAE" w:rsidRDefault="00A70FAE" w:rsidP="00842872">
      <w:pPr>
        <w:spacing w:after="40" w:line="288" w:lineRule="auto"/>
        <w:ind w:firstLine="720"/>
        <w:jc w:val="both"/>
      </w:pPr>
      <w:r>
        <w:rPr>
          <w:b/>
          <w:bCs/>
        </w:rPr>
        <w:t>3.     Bedelsiz devre ilişkin şartlar</w:t>
      </w:r>
    </w:p>
    <w:p w:rsidR="00A70FAE" w:rsidRDefault="00A70FAE" w:rsidP="00842872">
      <w:pPr>
        <w:spacing w:after="40" w:line="288" w:lineRule="auto"/>
        <w:ind w:firstLine="709"/>
        <w:jc w:val="both"/>
      </w:pPr>
      <w:r>
        <w:t>(1) İhtiyaç fazlası olduğu tespit edilen taşınırların diğer kamu idarelerine bedelsiz devredilmesinde aşağıdaki şartlar aranacaktır:</w:t>
      </w:r>
    </w:p>
    <w:p w:rsidR="00A70FAE" w:rsidRDefault="00A70FAE" w:rsidP="00842872">
      <w:pPr>
        <w:spacing w:after="40" w:line="288" w:lineRule="auto"/>
        <w:ind w:firstLine="709"/>
        <w:jc w:val="both"/>
      </w:pPr>
      <w:r>
        <w:t>a) Taşınırlar, kayıtlara alınış tarihi itibarıyla beş yılını tamamlamış olmalıdır. Ancak, aşağıda belirtilen durumlarda beş yıl şartı aranmayacaktır.</w:t>
      </w:r>
    </w:p>
    <w:p w:rsidR="00A70FAE" w:rsidRDefault="00A70FAE" w:rsidP="00842872">
      <w:pPr>
        <w:spacing w:after="40" w:line="288" w:lineRule="auto"/>
        <w:ind w:firstLine="709"/>
        <w:jc w:val="both"/>
      </w:pPr>
      <w:r>
        <w:t>1) Kamu idarelerince araştırma ve geliştirme amacıyla yürütülen veya desteklenen projelerin gerçekleştirilmesi için edinilen ve proje çalışmalarının tamamlanmasından sonra sözleşme hükümlerine dayanılarak idareye devredilen taşınırlardan idarece kullanılmasına ihtiyaç duyulmayanlar.</w:t>
      </w:r>
    </w:p>
    <w:p w:rsidR="00A70FAE" w:rsidRDefault="00A70FAE" w:rsidP="00842872">
      <w:pPr>
        <w:spacing w:after="40" w:line="288" w:lineRule="auto"/>
        <w:ind w:firstLine="709"/>
        <w:jc w:val="both"/>
      </w:pPr>
      <w:r>
        <w:t>2) Uluslararası organizasyonların gerçekleştirilmesi için yapılan toplantı, konferans, tanıtım, spor, yarışma, gösteri, sergi ve benzeri faaliyetler için alınmış olan taşınırlardan söz konusu faaliyetler tamamlandıktan sonra idarece kullanılmasına ihtiyaç duyulmayanlar.</w:t>
      </w:r>
    </w:p>
    <w:p w:rsidR="00A70FAE" w:rsidRDefault="00A70FAE" w:rsidP="00842872">
      <w:pPr>
        <w:spacing w:after="40" w:line="288" w:lineRule="auto"/>
        <w:ind w:firstLine="709"/>
        <w:jc w:val="both"/>
      </w:pPr>
      <w:r>
        <w:t xml:space="preserve">3) İdarece kullanım </w:t>
      </w:r>
      <w:proofErr w:type="gramStart"/>
      <w:r>
        <w:t>imkanı</w:t>
      </w:r>
      <w:proofErr w:type="gramEnd"/>
      <w:r>
        <w:t xml:space="preserve"> bulunmadığı gibi diğer idarelere devredilmediği takdirde çürüme, bozulma veya kullanım süresinin dolması gibi nedenlerle bir daha kullanılamayacak olan ya da diğer zorunlu sebeplerle devredilmesi gereken tüketim malzemeleri.</w:t>
      </w:r>
    </w:p>
    <w:p w:rsidR="00A70FAE" w:rsidRDefault="00A70FAE" w:rsidP="00842872">
      <w:pPr>
        <w:spacing w:after="40" w:line="288" w:lineRule="auto"/>
        <w:ind w:firstLine="709"/>
        <w:jc w:val="both"/>
      </w:pPr>
      <w:r>
        <w:t xml:space="preserve">b) İdarenin ihtiyaç duymaması nedeniyle devrettiği taşınıra, devralacak idarece ihtiyaç duyulmalı ve kullanılmasında yarar görülmelidir. </w:t>
      </w:r>
    </w:p>
    <w:p w:rsidR="00A70FAE" w:rsidRDefault="00A70FAE" w:rsidP="00842872">
      <w:pPr>
        <w:widowControl w:val="0"/>
        <w:spacing w:after="40" w:line="288" w:lineRule="auto"/>
        <w:ind w:firstLine="709"/>
        <w:jc w:val="both"/>
        <w:rPr>
          <w:sz w:val="22"/>
          <w:szCs w:val="18"/>
          <w:u w:val="single"/>
        </w:rPr>
      </w:pPr>
      <w:r>
        <w:t xml:space="preserve">c) İhtiyaç fazlası taşınırlar, devralacak idareye bakım, onarım ve taşıma giderleri yönünden ekonomik olmayan malî külfetler getirmemelidir. Beş yılını tamamladığı halde devralmak isteyen idare açısından bakım, onarım ve taşıma giderleri nedeniyle devri ekonomik olmayan ve kullanılmasında fayda görülmeyen taşınırlar devir işlemine konu edilmeyecek, bu tür taşınırlar, kuruluşların tabi oldukları mevzuat hükümlerine göre satılmak veya imha edilmek suretiyle tasfiye edilecektir. </w:t>
      </w:r>
    </w:p>
    <w:p w:rsidR="00A70FAE" w:rsidRDefault="00A70FAE" w:rsidP="00842872">
      <w:pPr>
        <w:widowControl w:val="0"/>
        <w:spacing w:after="40" w:line="288" w:lineRule="auto"/>
        <w:ind w:firstLine="709"/>
        <w:jc w:val="both"/>
      </w:pPr>
      <w:r>
        <w:t xml:space="preserve">ç) Devredilecek taşınırların devralacak idare tarafından taşınması esastır; ancak zorunlu durumlarda devreden idare tarafından da taşıtılabilir. </w:t>
      </w:r>
    </w:p>
    <w:p w:rsidR="00A70FAE" w:rsidRDefault="00A70FAE" w:rsidP="00842872">
      <w:pPr>
        <w:widowControl w:val="0"/>
        <w:spacing w:after="40" w:line="288" w:lineRule="auto"/>
        <w:ind w:firstLine="709"/>
        <w:jc w:val="both"/>
      </w:pPr>
      <w:r>
        <w:t>d) Kamu idarelerinin yapmış olduğu taşıma giderleri taşınırın değeri ile ilişkilendirilmez.</w:t>
      </w:r>
    </w:p>
    <w:p w:rsidR="00A70FAE" w:rsidRDefault="00A70FAE" w:rsidP="00842872">
      <w:pPr>
        <w:widowControl w:val="0"/>
        <w:spacing w:after="40" w:line="288" w:lineRule="auto"/>
        <w:ind w:firstLine="709"/>
        <w:jc w:val="both"/>
      </w:pPr>
      <w:r>
        <w:t xml:space="preserve">e) Mahalli idarelerde ortaya çıkan ihtiyaç fazlası taşınırların, diğer idarelere devrinde ilgisine göre valinin, belediye başkanının veya birlik başkanının onayı aranacaktır. </w:t>
      </w:r>
    </w:p>
    <w:p w:rsidR="00A70FAE" w:rsidRDefault="00A70FAE" w:rsidP="00842872">
      <w:pPr>
        <w:spacing w:after="40" w:line="288" w:lineRule="auto"/>
        <w:ind w:firstLine="709"/>
        <w:jc w:val="both"/>
      </w:pPr>
      <w:r>
        <w:t>f) Taşınır devirleri, Bakanlığımızca (Muhasebat Genel Müdürlüğü) yayımlanan Parasal Sınırlar ve Oranlar Hakkındaki Genel Tebliğinde belirlenen limitler dikkate alınarak harcama yetkilisi veya üst yöneticinin onayı ile yapılacaktır.</w:t>
      </w:r>
    </w:p>
    <w:p w:rsidR="00A70FAE" w:rsidRDefault="00A70FAE" w:rsidP="00842872">
      <w:pPr>
        <w:spacing w:after="40" w:line="288" w:lineRule="auto"/>
        <w:ind w:firstLine="709"/>
        <w:jc w:val="both"/>
      </w:pPr>
      <w:r>
        <w:t>(2) Devrine karar verilen taşınır için iki nüsha Ek-1 form (Taşınır Devrine İlişkin Protokol) düzenlenecek ve söz konusu taşınırlar, Yönetmelik hükümleri gereğince gerekli işlemler yapıldıktan sonra devredilecek ve devralınacaktır.</w:t>
      </w:r>
    </w:p>
    <w:p w:rsidR="00A70FAE" w:rsidRDefault="00A70FAE" w:rsidP="00842872">
      <w:pPr>
        <w:numPr>
          <w:ilvl w:val="0"/>
          <w:numId w:val="2"/>
        </w:numPr>
        <w:spacing w:after="40" w:line="288" w:lineRule="auto"/>
        <w:jc w:val="both"/>
        <w:rPr>
          <w:b/>
          <w:bCs/>
        </w:rPr>
      </w:pPr>
      <w:r>
        <w:rPr>
          <w:b/>
          <w:bCs/>
        </w:rPr>
        <w:t>Devredilemeyecek taşınırlar</w:t>
      </w:r>
    </w:p>
    <w:p w:rsidR="00A70FAE" w:rsidRDefault="00A70FAE" w:rsidP="00842872">
      <w:pPr>
        <w:tabs>
          <w:tab w:val="left" w:pos="900"/>
          <w:tab w:val="left" w:pos="1080"/>
        </w:tabs>
        <w:spacing w:after="40" w:line="288" w:lineRule="auto"/>
        <w:ind w:firstLine="709"/>
        <w:jc w:val="both"/>
      </w:pPr>
      <w:r>
        <w:t xml:space="preserve">(1) Taşıt ve iş makineleri, ihtiyaç fazlası taşınıra konu edilmeyecek ve devredilmeyecektir. </w:t>
      </w:r>
    </w:p>
    <w:p w:rsidR="00A70FAE" w:rsidRDefault="00A70FAE" w:rsidP="00842872">
      <w:pPr>
        <w:numPr>
          <w:ilvl w:val="1"/>
          <w:numId w:val="2"/>
        </w:numPr>
        <w:tabs>
          <w:tab w:val="clear" w:pos="1789"/>
          <w:tab w:val="num" w:pos="0"/>
          <w:tab w:val="left" w:pos="900"/>
          <w:tab w:val="left" w:pos="1080"/>
        </w:tabs>
        <w:spacing w:after="40" w:line="288" w:lineRule="auto"/>
        <w:ind w:left="0" w:firstLine="720"/>
        <w:jc w:val="both"/>
      </w:pPr>
      <w:r>
        <w:t xml:space="preserve">Ancak, idarece ihtiyaç duyulmadığından diğer idarelere bedelsiz devredilmesinde yarar görülenlerin devri, merkezi yönetim kapsamındaki kamu idarelerince Bakanlığımızın; mahalli </w:t>
      </w:r>
      <w:r>
        <w:lastRenderedPageBreak/>
        <w:t xml:space="preserve">idarelerde meclis kararlarına bağlı olarak, sosyal güvenlik kuruluşlarınca ise ilgili Bakanlığın teklifi üzerine, Bakanlığımızın uygun görüşünün alınması suretiyle yapılacaktır. </w:t>
      </w:r>
    </w:p>
    <w:p w:rsidR="00A70FAE" w:rsidRDefault="00A70FAE" w:rsidP="00842872">
      <w:pPr>
        <w:spacing w:after="40" w:line="288" w:lineRule="auto"/>
        <w:ind w:firstLine="709"/>
        <w:jc w:val="both"/>
      </w:pPr>
      <w:r>
        <w:t>(3) Kamu idarelerince araştırma ve geliştirme amacıyla yürütülen veya desteklenen projelerin gerçekleştirilmesi için edinilen ve proje çalışmalarının tamamlanmasından sonra sözleşme hükümlerine dayanılarak idareye devredilen taşıt ve iş makinelerinin diğer kamu idarelerine devrinde de bu madde hükmü uygulanacaktır.</w:t>
      </w:r>
    </w:p>
    <w:p w:rsidR="00ED35C5" w:rsidRDefault="00ED35C5" w:rsidP="00842872">
      <w:pPr>
        <w:pStyle w:val="Balk2"/>
        <w:keepNext w:val="0"/>
        <w:spacing w:after="40" w:line="288" w:lineRule="auto"/>
        <w:ind w:left="0"/>
      </w:pPr>
    </w:p>
    <w:p w:rsidR="00A70FAE" w:rsidRDefault="00A70FAE" w:rsidP="00842872">
      <w:pPr>
        <w:pStyle w:val="Balk2"/>
        <w:keepNext w:val="0"/>
        <w:spacing w:after="40" w:line="288" w:lineRule="auto"/>
        <w:ind w:left="709"/>
      </w:pPr>
      <w:r>
        <w:t xml:space="preserve">5.  Yürürlük </w:t>
      </w:r>
    </w:p>
    <w:p w:rsidR="00A70FAE" w:rsidRDefault="00A70FAE" w:rsidP="00842872">
      <w:pPr>
        <w:spacing w:after="40" w:line="288" w:lineRule="auto"/>
        <w:ind w:firstLine="708"/>
        <w:jc w:val="both"/>
      </w:pPr>
      <w:r>
        <w:t xml:space="preserve">(1) </w:t>
      </w:r>
      <w:proofErr w:type="gramStart"/>
      <w:r>
        <w:t>20/2/2004</w:t>
      </w:r>
      <w:proofErr w:type="gramEnd"/>
      <w:r>
        <w:t xml:space="preserve"> tarihli ve 25379 mükerrer sayılı Resmî Gazetede yayımlanan 11 sıra no.lu Muhasebat Genel Müdürlüğü Genel Tebliği ile ekleri yürürlükten kaldırılmıştır.</w:t>
      </w:r>
    </w:p>
    <w:p w:rsidR="00A70FAE" w:rsidRDefault="00A70FAE" w:rsidP="00842872">
      <w:pPr>
        <w:snapToGrid w:val="0"/>
        <w:spacing w:after="40" w:line="288" w:lineRule="auto"/>
        <w:ind w:firstLine="709"/>
        <w:jc w:val="both"/>
      </w:pPr>
      <w:r>
        <w:t>(2) Bu Tebliğ, yayımı tarihinde yürürlüğe girer.</w:t>
      </w:r>
    </w:p>
    <w:p w:rsidR="00A70FAE" w:rsidRDefault="00A70FAE" w:rsidP="00842872">
      <w:pPr>
        <w:spacing w:after="40" w:line="288" w:lineRule="auto"/>
        <w:jc w:val="both"/>
      </w:pPr>
    </w:p>
    <w:p w:rsidR="00E66C90" w:rsidRDefault="0065058B" w:rsidP="00842872">
      <w:pPr>
        <w:spacing w:after="40" w:line="288" w:lineRule="auto"/>
        <w:jc w:val="both"/>
      </w:pPr>
      <w:r>
        <w:t>EK: Taşınır</w:t>
      </w:r>
      <w:r w:rsidR="00117FB0">
        <w:t xml:space="preserve"> Devrine İlişkin Protokol</w:t>
      </w:r>
    </w:p>
    <w:p w:rsidR="00E66C90" w:rsidRPr="00E66C90" w:rsidRDefault="00E66C90" w:rsidP="00E66C90">
      <w:pPr>
        <w:jc w:val="right"/>
      </w:pPr>
      <w:r w:rsidRPr="00E66C90">
        <w:t>EK-1</w:t>
      </w:r>
    </w:p>
    <w:p w:rsidR="00E66C90" w:rsidRPr="00E66C90" w:rsidRDefault="00E66C90" w:rsidP="00E66C90">
      <w:pPr>
        <w:jc w:val="right"/>
      </w:pPr>
    </w:p>
    <w:p w:rsidR="00E66C90" w:rsidRPr="00E66C90" w:rsidRDefault="0065058B" w:rsidP="00E66C90">
      <w:pPr>
        <w:jc w:val="center"/>
      </w:pPr>
      <w:r w:rsidRPr="00E66C90">
        <w:t>TAŞINIR DEVRİNE</w:t>
      </w:r>
      <w:r w:rsidR="00E66C90" w:rsidRPr="00E66C90">
        <w:t xml:space="preserve"> İLİŞKİN PROTOKOL</w:t>
      </w:r>
    </w:p>
    <w:p w:rsidR="00E66C90" w:rsidRPr="00E66C90" w:rsidRDefault="00E66C90" w:rsidP="00E66C90">
      <w:pPr>
        <w:jc w:val="center"/>
      </w:pPr>
    </w:p>
    <w:p w:rsidR="00E66C90" w:rsidRPr="00E66C90" w:rsidRDefault="00E66C90" w:rsidP="00E66C90">
      <w:pPr>
        <w:ind w:firstLine="708"/>
        <w:jc w:val="both"/>
      </w:pPr>
      <w:r w:rsidRPr="00E66C90">
        <w:t>Madde 1- Bu protokol, aşağıda ayrıntısı gösterilen taşınırların, Maliye Bakanlığı Muhasebat Genel Müdürlüğünün 1 sayılı Taşınır Mal Yönetmeliği Genel Tebliğinde (Sayı:1) belirlenen esaslara göre “............................................................................” kurumundan, başvuruda bulunan “.................................................................” kurumuna bedelsiz olarak devredilmek üzere düzenlenmiştir.</w:t>
      </w:r>
    </w:p>
    <w:p w:rsidR="00E66C90" w:rsidRPr="00E66C90" w:rsidRDefault="00E66C90" w:rsidP="00E66C90">
      <w:pPr>
        <w:ind w:firstLine="708"/>
        <w:jc w:val="both"/>
      </w:pPr>
      <w:r w:rsidRPr="00E66C90">
        <w:t>Madde 2- Devir alan kamu idaresi devir aldığı taşınırlar karşılığında Taşınır İşlem Fişi düzenleyerek, bir nüshasını devreden kamu idaresine verecektir.</w:t>
      </w:r>
    </w:p>
    <w:p w:rsidR="00E66C90" w:rsidRPr="00E66C90" w:rsidRDefault="00E66C90" w:rsidP="00E66C90">
      <w:pPr>
        <w:ind w:firstLine="708"/>
        <w:jc w:val="both"/>
      </w:pPr>
      <w:r w:rsidRPr="00E66C90">
        <w:t>Madde 3- Devredilen taşınırın nakliye giderleri devralan/devreden kamu idaresine aittir.</w:t>
      </w:r>
    </w:p>
    <w:p w:rsidR="00E66C90" w:rsidRPr="00E66C90" w:rsidRDefault="00E66C90" w:rsidP="00E66C90">
      <w:pPr>
        <w:ind w:firstLine="708"/>
        <w:jc w:val="both"/>
      </w:pPr>
      <w:r w:rsidRPr="00E66C90">
        <w:t>Madde 4- İki nüsha olarak düzenlenen bu protokol taraflarca .../.../</w:t>
      </w:r>
      <w:proofErr w:type="gramStart"/>
      <w:r w:rsidRPr="00E66C90">
        <w:t>....</w:t>
      </w:r>
      <w:proofErr w:type="gramEnd"/>
      <w:r w:rsidRPr="00E66C90">
        <w:t xml:space="preserve"> </w:t>
      </w:r>
      <w:proofErr w:type="gramStart"/>
      <w:r w:rsidRPr="00E66C90">
        <w:t>tarihinde</w:t>
      </w:r>
      <w:proofErr w:type="gramEnd"/>
      <w:r w:rsidRPr="00E66C90">
        <w:t xml:space="preserve"> imzalanmıştır.</w:t>
      </w:r>
    </w:p>
    <w:p w:rsidR="00E66C90" w:rsidRPr="00E66C90" w:rsidRDefault="00E66C90" w:rsidP="00E66C90">
      <w:pPr>
        <w:ind w:firstLine="708"/>
        <w:jc w:val="both"/>
        <w:rPr>
          <w:sz w:val="19"/>
        </w:rPr>
      </w:pPr>
    </w:p>
    <w:p w:rsidR="00E66C90" w:rsidRPr="00E66C90" w:rsidRDefault="00E66C90" w:rsidP="00E66C90">
      <w:pPr>
        <w:ind w:firstLine="708"/>
        <w:jc w:val="both"/>
        <w:rPr>
          <w:sz w:val="19"/>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E66C90" w:rsidRPr="00E66C90" w:rsidTr="00B23305">
        <w:trPr>
          <w:jc w:val="center"/>
        </w:trPr>
        <w:tc>
          <w:tcPr>
            <w:tcW w:w="4606" w:type="dxa"/>
          </w:tcPr>
          <w:p w:rsidR="00E66C90" w:rsidRPr="00E66C90" w:rsidRDefault="00E66C90" w:rsidP="00E66C90">
            <w:pPr>
              <w:jc w:val="center"/>
              <w:rPr>
                <w:sz w:val="22"/>
              </w:rPr>
            </w:pPr>
            <w:r w:rsidRPr="00E66C90">
              <w:rPr>
                <w:sz w:val="22"/>
              </w:rPr>
              <w:t>Devreden kamu idaresi adına</w:t>
            </w:r>
          </w:p>
        </w:tc>
        <w:tc>
          <w:tcPr>
            <w:tcW w:w="4606" w:type="dxa"/>
          </w:tcPr>
          <w:p w:rsidR="00E66C90" w:rsidRPr="00E66C90" w:rsidRDefault="00E66C90" w:rsidP="00E66C90">
            <w:pPr>
              <w:jc w:val="center"/>
              <w:rPr>
                <w:sz w:val="22"/>
              </w:rPr>
            </w:pPr>
            <w:r w:rsidRPr="00E66C90">
              <w:rPr>
                <w:sz w:val="22"/>
              </w:rPr>
              <w:t>Devralan kamu idaresi adına</w:t>
            </w:r>
          </w:p>
        </w:tc>
      </w:tr>
      <w:tr w:rsidR="00E66C90" w:rsidRPr="00E66C90" w:rsidTr="00B23305">
        <w:trPr>
          <w:jc w:val="center"/>
        </w:trPr>
        <w:tc>
          <w:tcPr>
            <w:tcW w:w="4606" w:type="dxa"/>
          </w:tcPr>
          <w:p w:rsidR="00E66C90" w:rsidRPr="00E66C90" w:rsidRDefault="00E66C90" w:rsidP="00E66C90">
            <w:pPr>
              <w:jc w:val="center"/>
              <w:rPr>
                <w:sz w:val="22"/>
              </w:rPr>
            </w:pPr>
            <w:r w:rsidRPr="00E66C90">
              <w:rPr>
                <w:sz w:val="22"/>
              </w:rPr>
              <w:t>Harcama Yetkilisi / Üst Yönetici</w:t>
            </w:r>
          </w:p>
        </w:tc>
        <w:tc>
          <w:tcPr>
            <w:tcW w:w="4606" w:type="dxa"/>
          </w:tcPr>
          <w:p w:rsidR="00E66C90" w:rsidRPr="00E66C90" w:rsidRDefault="00E66C90" w:rsidP="00E66C90">
            <w:pPr>
              <w:jc w:val="center"/>
              <w:rPr>
                <w:sz w:val="22"/>
              </w:rPr>
            </w:pPr>
            <w:r w:rsidRPr="00E66C90">
              <w:rPr>
                <w:sz w:val="22"/>
              </w:rPr>
              <w:t>Harcama Yetkilisi / Üst Yönetici</w:t>
            </w:r>
          </w:p>
        </w:tc>
      </w:tr>
      <w:tr w:rsidR="00E66C90" w:rsidRPr="00E66C90" w:rsidTr="00B23305">
        <w:trPr>
          <w:jc w:val="center"/>
        </w:trPr>
        <w:tc>
          <w:tcPr>
            <w:tcW w:w="4606" w:type="dxa"/>
          </w:tcPr>
          <w:p w:rsidR="00E66C90" w:rsidRPr="00E66C90" w:rsidRDefault="00E66C90" w:rsidP="00E66C90">
            <w:pPr>
              <w:jc w:val="center"/>
              <w:rPr>
                <w:sz w:val="22"/>
              </w:rPr>
            </w:pPr>
            <w:r w:rsidRPr="00E66C90">
              <w:rPr>
                <w:sz w:val="22"/>
              </w:rPr>
              <w:t>Adı – Soyadı</w:t>
            </w:r>
          </w:p>
        </w:tc>
        <w:tc>
          <w:tcPr>
            <w:tcW w:w="4606" w:type="dxa"/>
          </w:tcPr>
          <w:p w:rsidR="00E66C90" w:rsidRPr="00E66C90" w:rsidRDefault="00E66C90" w:rsidP="00E66C90">
            <w:pPr>
              <w:jc w:val="center"/>
              <w:rPr>
                <w:sz w:val="22"/>
              </w:rPr>
            </w:pPr>
            <w:r w:rsidRPr="00E66C90">
              <w:rPr>
                <w:sz w:val="22"/>
              </w:rPr>
              <w:t>Adı – Soyadı</w:t>
            </w:r>
          </w:p>
        </w:tc>
      </w:tr>
      <w:tr w:rsidR="00E66C90" w:rsidRPr="00E66C90" w:rsidTr="00B23305">
        <w:trPr>
          <w:jc w:val="center"/>
        </w:trPr>
        <w:tc>
          <w:tcPr>
            <w:tcW w:w="4606" w:type="dxa"/>
          </w:tcPr>
          <w:p w:rsidR="00E66C90" w:rsidRPr="00E66C90" w:rsidRDefault="00E66C90" w:rsidP="00E66C90">
            <w:pPr>
              <w:jc w:val="center"/>
              <w:rPr>
                <w:sz w:val="22"/>
              </w:rPr>
            </w:pPr>
            <w:r w:rsidRPr="00E66C90">
              <w:rPr>
                <w:sz w:val="22"/>
              </w:rPr>
              <w:t>İmza</w:t>
            </w:r>
          </w:p>
        </w:tc>
        <w:tc>
          <w:tcPr>
            <w:tcW w:w="4606" w:type="dxa"/>
          </w:tcPr>
          <w:p w:rsidR="00E66C90" w:rsidRPr="00E66C90" w:rsidRDefault="00E66C90" w:rsidP="00E66C90">
            <w:pPr>
              <w:jc w:val="center"/>
              <w:rPr>
                <w:sz w:val="22"/>
              </w:rPr>
            </w:pPr>
            <w:r w:rsidRPr="00E66C90">
              <w:rPr>
                <w:sz w:val="22"/>
              </w:rPr>
              <w:t>İmza</w:t>
            </w:r>
          </w:p>
        </w:tc>
      </w:tr>
    </w:tbl>
    <w:p w:rsidR="00E66C90" w:rsidRPr="00E66C90" w:rsidRDefault="00E66C90" w:rsidP="00E66C90">
      <w:pPr>
        <w:jc w:val="both"/>
        <w:rPr>
          <w:sz w:val="19"/>
        </w:rPr>
      </w:pPr>
    </w:p>
    <w:p w:rsidR="00E66C90" w:rsidRPr="00E66C90" w:rsidRDefault="00E66C90" w:rsidP="00E66C90">
      <w:pPr>
        <w:jc w:val="both"/>
        <w:rPr>
          <w:sz w:val="19"/>
        </w:rPr>
      </w:pPr>
    </w:p>
    <w:tbl>
      <w:tblPr>
        <w:tblW w:w="5155"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65"/>
        <w:gridCol w:w="1505"/>
        <w:gridCol w:w="1437"/>
        <w:gridCol w:w="629"/>
        <w:gridCol w:w="1120"/>
        <w:gridCol w:w="933"/>
        <w:gridCol w:w="572"/>
        <w:gridCol w:w="1098"/>
        <w:gridCol w:w="2023"/>
      </w:tblGrid>
      <w:tr w:rsidR="00E66C90" w:rsidRPr="00E66C90" w:rsidTr="00B23305">
        <w:trPr>
          <w:cantSplit/>
          <w:jc w:val="center"/>
        </w:trPr>
        <w:tc>
          <w:tcPr>
            <w:tcW w:w="328" w:type="pct"/>
            <w:vMerge w:val="restart"/>
            <w:tcBorders>
              <w:top w:val="single" w:sz="4" w:space="0" w:color="auto"/>
              <w:left w:val="single" w:sz="4" w:space="0" w:color="auto"/>
              <w:bottom w:val="single" w:sz="12" w:space="0" w:color="auto"/>
              <w:right w:val="single" w:sz="4" w:space="0" w:color="auto"/>
            </w:tcBorders>
            <w:vAlign w:val="center"/>
          </w:tcPr>
          <w:p w:rsidR="00E66C90" w:rsidRPr="00E66C90" w:rsidRDefault="00E66C90" w:rsidP="00E66C90">
            <w:pPr>
              <w:ind w:left="180"/>
              <w:jc w:val="center"/>
              <w:rPr>
                <w:sz w:val="20"/>
                <w:szCs w:val="20"/>
              </w:rPr>
            </w:pPr>
            <w:r w:rsidRPr="00E66C90">
              <w:rPr>
                <w:sz w:val="20"/>
              </w:rPr>
              <w:t>Kayıt Sıra</w:t>
            </w:r>
          </w:p>
          <w:p w:rsidR="00E66C90" w:rsidRPr="00E66C90" w:rsidRDefault="00E66C90" w:rsidP="00E66C90">
            <w:pPr>
              <w:ind w:left="180"/>
              <w:jc w:val="center"/>
              <w:rPr>
                <w:sz w:val="18"/>
                <w:szCs w:val="20"/>
              </w:rPr>
            </w:pPr>
            <w:r w:rsidRPr="00E66C90">
              <w:rPr>
                <w:sz w:val="20"/>
              </w:rPr>
              <w:t>No</w:t>
            </w:r>
          </w:p>
        </w:tc>
        <w:tc>
          <w:tcPr>
            <w:tcW w:w="2804" w:type="pct"/>
            <w:gridSpan w:val="5"/>
            <w:tcBorders>
              <w:top w:val="single" w:sz="4" w:space="0" w:color="auto"/>
              <w:left w:val="single" w:sz="4" w:space="0" w:color="auto"/>
              <w:bottom w:val="single" w:sz="4" w:space="0" w:color="auto"/>
              <w:right w:val="single" w:sz="4" w:space="0" w:color="auto"/>
            </w:tcBorders>
            <w:vAlign w:val="bottom"/>
          </w:tcPr>
          <w:p w:rsidR="00E66C90" w:rsidRPr="00E66C90" w:rsidRDefault="00E66C90" w:rsidP="00E66C90">
            <w:pPr>
              <w:ind w:left="180"/>
              <w:jc w:val="center"/>
              <w:rPr>
                <w:sz w:val="20"/>
              </w:rPr>
            </w:pPr>
          </w:p>
          <w:p w:rsidR="00E66C90" w:rsidRPr="00E66C90" w:rsidRDefault="00E66C90" w:rsidP="00E66C90">
            <w:pPr>
              <w:ind w:left="180"/>
              <w:jc w:val="center"/>
              <w:rPr>
                <w:sz w:val="20"/>
              </w:rPr>
            </w:pPr>
            <w:r w:rsidRPr="00E66C90">
              <w:rPr>
                <w:sz w:val="20"/>
              </w:rPr>
              <w:t>Devredilen İhtiyaç Fazlası Taşınırın</w:t>
            </w:r>
          </w:p>
          <w:p w:rsidR="00E66C90" w:rsidRPr="00E66C90" w:rsidRDefault="00E66C90" w:rsidP="00E66C90">
            <w:pPr>
              <w:ind w:left="180"/>
              <w:jc w:val="center"/>
              <w:rPr>
                <w:sz w:val="20"/>
                <w:szCs w:val="20"/>
              </w:rPr>
            </w:pPr>
          </w:p>
        </w:tc>
        <w:tc>
          <w:tcPr>
            <w:tcW w:w="1868" w:type="pct"/>
            <w:gridSpan w:val="3"/>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ind w:left="180"/>
              <w:jc w:val="center"/>
              <w:rPr>
                <w:sz w:val="20"/>
                <w:szCs w:val="20"/>
              </w:rPr>
            </w:pPr>
            <w:r w:rsidRPr="00E66C90">
              <w:rPr>
                <w:sz w:val="20"/>
              </w:rPr>
              <w:t>Taşınırın Devredildiği İdare/Birimin</w:t>
            </w:r>
          </w:p>
        </w:tc>
      </w:tr>
      <w:tr w:rsidR="00E66C90" w:rsidRPr="00E66C90" w:rsidTr="00B23305">
        <w:trPr>
          <w:cantSplit/>
          <w:trHeight w:val="1068"/>
          <w:jc w:val="center"/>
        </w:trPr>
        <w:tc>
          <w:tcPr>
            <w:tcW w:w="328" w:type="pct"/>
            <w:vMerge/>
            <w:tcBorders>
              <w:top w:val="single" w:sz="12" w:space="0" w:color="auto"/>
              <w:left w:val="single" w:sz="4" w:space="0" w:color="auto"/>
              <w:bottom w:val="single" w:sz="4" w:space="0" w:color="auto"/>
              <w:right w:val="single" w:sz="4" w:space="0" w:color="auto"/>
            </w:tcBorders>
            <w:vAlign w:val="center"/>
          </w:tcPr>
          <w:p w:rsidR="00E66C90" w:rsidRPr="00E66C90" w:rsidRDefault="00E66C90" w:rsidP="00E66C90">
            <w:pPr>
              <w:ind w:left="180"/>
              <w:rPr>
                <w:sz w:val="18"/>
              </w:rPr>
            </w:pPr>
          </w:p>
        </w:tc>
        <w:tc>
          <w:tcPr>
            <w:tcW w:w="759" w:type="pct"/>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ind w:left="180"/>
              <w:jc w:val="center"/>
              <w:rPr>
                <w:sz w:val="20"/>
                <w:szCs w:val="20"/>
              </w:rPr>
            </w:pPr>
            <w:r w:rsidRPr="00E66C90">
              <w:rPr>
                <w:sz w:val="20"/>
              </w:rPr>
              <w:t>Kodu</w:t>
            </w:r>
          </w:p>
        </w:tc>
        <w:tc>
          <w:tcPr>
            <w:tcW w:w="725" w:type="pct"/>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keepNext/>
              <w:ind w:left="180"/>
              <w:jc w:val="center"/>
              <w:outlineLvl w:val="3"/>
              <w:rPr>
                <w:rFonts w:eastAsia="Arial Unicode MS"/>
                <w:sz w:val="20"/>
                <w:szCs w:val="20"/>
              </w:rPr>
            </w:pPr>
            <w:r w:rsidRPr="00E66C90">
              <w:rPr>
                <w:sz w:val="20"/>
                <w:szCs w:val="20"/>
              </w:rPr>
              <w:t>Adı</w:t>
            </w:r>
          </w:p>
        </w:tc>
        <w:tc>
          <w:tcPr>
            <w:tcW w:w="277" w:type="pct"/>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rPr>
                <w:sz w:val="20"/>
              </w:rPr>
            </w:pPr>
            <w:r w:rsidRPr="00E66C90">
              <w:rPr>
                <w:sz w:val="20"/>
              </w:rPr>
              <w:t xml:space="preserve">  Adedi</w:t>
            </w:r>
          </w:p>
        </w:tc>
        <w:tc>
          <w:tcPr>
            <w:tcW w:w="568" w:type="pct"/>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ind w:left="180"/>
              <w:jc w:val="center"/>
              <w:rPr>
                <w:sz w:val="20"/>
              </w:rPr>
            </w:pPr>
          </w:p>
          <w:p w:rsidR="00E66C90" w:rsidRPr="00E66C90" w:rsidRDefault="00E66C90" w:rsidP="00E66C90">
            <w:pPr>
              <w:ind w:left="180"/>
              <w:rPr>
                <w:sz w:val="20"/>
              </w:rPr>
            </w:pPr>
            <w:r w:rsidRPr="00E66C90">
              <w:rPr>
                <w:sz w:val="20"/>
              </w:rPr>
              <w:t xml:space="preserve"> Birim Değeri</w:t>
            </w:r>
          </w:p>
          <w:p w:rsidR="00E66C90" w:rsidRPr="00E66C90" w:rsidRDefault="00E66C90" w:rsidP="00E66C90">
            <w:pPr>
              <w:ind w:left="180"/>
              <w:rPr>
                <w:sz w:val="20"/>
                <w:szCs w:val="20"/>
              </w:rPr>
            </w:pPr>
          </w:p>
        </w:tc>
        <w:tc>
          <w:tcPr>
            <w:tcW w:w="474" w:type="pct"/>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ind w:left="-10"/>
              <w:jc w:val="center"/>
              <w:rPr>
                <w:sz w:val="20"/>
              </w:rPr>
            </w:pPr>
          </w:p>
          <w:p w:rsidR="00E66C90" w:rsidRPr="00E66C90" w:rsidRDefault="00E66C90" w:rsidP="00E66C90">
            <w:pPr>
              <w:ind w:left="-10"/>
              <w:jc w:val="center"/>
              <w:rPr>
                <w:sz w:val="20"/>
              </w:rPr>
            </w:pPr>
            <w:r w:rsidRPr="00E66C90">
              <w:rPr>
                <w:sz w:val="20"/>
              </w:rPr>
              <w:t>Toplam Bedeli</w:t>
            </w:r>
          </w:p>
          <w:p w:rsidR="00E66C90" w:rsidRPr="00E66C90" w:rsidRDefault="00E66C90" w:rsidP="00E66C90">
            <w:pPr>
              <w:ind w:left="180"/>
              <w:rPr>
                <w:sz w:val="20"/>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20"/>
                <w:szCs w:val="20"/>
              </w:rPr>
            </w:pPr>
          </w:p>
          <w:p w:rsidR="00E66C90" w:rsidRPr="00E66C90" w:rsidRDefault="00E66C90" w:rsidP="00E66C90">
            <w:pPr>
              <w:ind w:left="180"/>
              <w:jc w:val="center"/>
              <w:rPr>
                <w:sz w:val="20"/>
                <w:szCs w:val="20"/>
              </w:rPr>
            </w:pPr>
          </w:p>
          <w:p w:rsidR="00E66C90" w:rsidRPr="00E66C90" w:rsidRDefault="00E66C90" w:rsidP="00E66C90">
            <w:pPr>
              <w:ind w:left="180"/>
              <w:rPr>
                <w:sz w:val="20"/>
                <w:szCs w:val="20"/>
              </w:rPr>
            </w:pPr>
            <w:r w:rsidRPr="00E66C90">
              <w:rPr>
                <w:sz w:val="20"/>
                <w:szCs w:val="20"/>
              </w:rPr>
              <w:t xml:space="preserve">  İli</w:t>
            </w: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20"/>
                <w:szCs w:val="20"/>
              </w:rPr>
            </w:pPr>
          </w:p>
          <w:p w:rsidR="00E66C90" w:rsidRPr="00E66C90" w:rsidRDefault="00E66C90" w:rsidP="00E66C90">
            <w:pPr>
              <w:ind w:left="180"/>
              <w:jc w:val="center"/>
              <w:rPr>
                <w:sz w:val="20"/>
                <w:szCs w:val="20"/>
              </w:rPr>
            </w:pPr>
          </w:p>
          <w:p w:rsidR="00E66C90" w:rsidRPr="00E66C90" w:rsidRDefault="00E66C90" w:rsidP="00E66C90">
            <w:pPr>
              <w:ind w:left="180"/>
              <w:rPr>
                <w:sz w:val="20"/>
                <w:szCs w:val="20"/>
              </w:rPr>
            </w:pPr>
            <w:r w:rsidRPr="00E66C90">
              <w:rPr>
                <w:sz w:val="20"/>
                <w:szCs w:val="20"/>
              </w:rPr>
              <w:t>Kurum Kodu</w:t>
            </w:r>
          </w:p>
        </w:tc>
        <w:tc>
          <w:tcPr>
            <w:tcW w:w="1014" w:type="pct"/>
            <w:tcBorders>
              <w:top w:val="single" w:sz="4" w:space="0" w:color="auto"/>
              <w:left w:val="single" w:sz="4" w:space="0" w:color="auto"/>
              <w:bottom w:val="single" w:sz="4" w:space="0" w:color="auto"/>
              <w:right w:val="single" w:sz="4" w:space="0" w:color="auto"/>
            </w:tcBorders>
            <w:vAlign w:val="center"/>
          </w:tcPr>
          <w:p w:rsidR="00E66C90" w:rsidRPr="00E66C90" w:rsidRDefault="00E66C90" w:rsidP="00E66C90">
            <w:pPr>
              <w:ind w:left="-10"/>
              <w:jc w:val="center"/>
              <w:rPr>
                <w:sz w:val="20"/>
                <w:szCs w:val="20"/>
              </w:rPr>
            </w:pPr>
            <w:r w:rsidRPr="00E66C90">
              <w:rPr>
                <w:sz w:val="20"/>
              </w:rPr>
              <w:t>Adı</w:t>
            </w: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32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59"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725"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7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68"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47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296"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557"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c>
          <w:tcPr>
            <w:tcW w:w="1014" w:type="pct"/>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18"/>
                <w:szCs w:val="20"/>
              </w:rPr>
            </w:pPr>
          </w:p>
        </w:tc>
      </w:tr>
      <w:tr w:rsidR="00E66C90" w:rsidRPr="00E66C90" w:rsidTr="00B23305">
        <w:trPr>
          <w:cantSplit/>
          <w:jc w:val="center"/>
        </w:trPr>
        <w:tc>
          <w:tcPr>
            <w:tcW w:w="4999" w:type="pct"/>
            <w:gridSpan w:val="9"/>
            <w:tcBorders>
              <w:top w:val="single" w:sz="4" w:space="0" w:color="auto"/>
              <w:left w:val="single" w:sz="4" w:space="0" w:color="auto"/>
              <w:bottom w:val="single" w:sz="4" w:space="0" w:color="auto"/>
              <w:right w:val="single" w:sz="4" w:space="0" w:color="auto"/>
            </w:tcBorders>
          </w:tcPr>
          <w:p w:rsidR="00E66C90" w:rsidRPr="00E66C90" w:rsidRDefault="00E66C90" w:rsidP="00E66C90">
            <w:pPr>
              <w:ind w:left="180"/>
              <w:jc w:val="center"/>
              <w:rPr>
                <w:sz w:val="20"/>
                <w:szCs w:val="20"/>
              </w:rPr>
            </w:pPr>
            <w:r w:rsidRPr="00E66C90">
              <w:rPr>
                <w:sz w:val="20"/>
              </w:rPr>
              <w:t>Toplam</w:t>
            </w:r>
            <w:proofErr w:type="gramStart"/>
            <w:r w:rsidRPr="00E66C90">
              <w:rPr>
                <w:sz w:val="20"/>
              </w:rPr>
              <w:t>..........</w:t>
            </w:r>
            <w:proofErr w:type="gramEnd"/>
            <w:r w:rsidRPr="00E66C90">
              <w:rPr>
                <w:sz w:val="20"/>
              </w:rPr>
              <w:t>kalem ve .........adet taşınırın toplam tutarı :</w:t>
            </w:r>
          </w:p>
        </w:tc>
      </w:tr>
    </w:tbl>
    <w:p w:rsidR="00E66C90" w:rsidRDefault="00E66C90" w:rsidP="00842872">
      <w:pPr>
        <w:jc w:val="both"/>
      </w:pPr>
    </w:p>
    <w:sectPr w:rsidR="00E66C90" w:rsidSect="00607F1F">
      <w:pgSz w:w="11906" w:h="16838"/>
      <w:pgMar w:top="1134" w:right="99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CB" w:rsidRDefault="005E55CB" w:rsidP="00A70FAE">
      <w:r>
        <w:separator/>
      </w:r>
    </w:p>
  </w:endnote>
  <w:endnote w:type="continuationSeparator" w:id="0">
    <w:p w:rsidR="005E55CB" w:rsidRDefault="005E55CB" w:rsidP="00A7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CB" w:rsidRDefault="005E55CB" w:rsidP="00A70FAE">
      <w:r>
        <w:separator/>
      </w:r>
    </w:p>
  </w:footnote>
  <w:footnote w:type="continuationSeparator" w:id="0">
    <w:p w:rsidR="005E55CB" w:rsidRDefault="005E55CB" w:rsidP="00A70FAE">
      <w:r>
        <w:continuationSeparator/>
      </w:r>
    </w:p>
  </w:footnote>
  <w:footnote w:id="1">
    <w:p w:rsidR="00A70FAE" w:rsidRPr="00117FB0" w:rsidRDefault="00A70FAE" w:rsidP="00A70FAE">
      <w:pPr>
        <w:pStyle w:val="DipnotMetni"/>
        <w:jc w:val="both"/>
        <w:rPr>
          <w:sz w:val="18"/>
          <w:szCs w:val="18"/>
        </w:rPr>
      </w:pPr>
      <w:r w:rsidRPr="00117FB0">
        <w:rPr>
          <w:rStyle w:val="DipnotBavurusu"/>
          <w:sz w:val="18"/>
          <w:szCs w:val="18"/>
        </w:rPr>
        <w:footnoteRef/>
      </w:r>
      <w:r w:rsidRPr="00117FB0">
        <w:rPr>
          <w:sz w:val="18"/>
          <w:szCs w:val="18"/>
        </w:rPr>
        <w:t xml:space="preserve"> </w:t>
      </w:r>
      <w:r w:rsidRPr="00117FB0">
        <w:rPr>
          <w:iCs/>
          <w:color w:val="1C283D"/>
          <w:sz w:val="18"/>
          <w:szCs w:val="18"/>
        </w:rPr>
        <w:t xml:space="preserve">Bu Tebliğin adı “Taşınır Mal Yönetmeliği Genel Tebliği (Sayı: 1)” iken </w:t>
      </w:r>
      <w:proofErr w:type="gramStart"/>
      <w:r w:rsidRPr="00117FB0">
        <w:rPr>
          <w:iCs/>
          <w:color w:val="1C283D"/>
          <w:sz w:val="18"/>
          <w:szCs w:val="18"/>
        </w:rPr>
        <w:t>6/12/2014</w:t>
      </w:r>
      <w:proofErr w:type="gramEnd"/>
      <w:r w:rsidRPr="00117FB0">
        <w:rPr>
          <w:iCs/>
          <w:color w:val="1C283D"/>
          <w:sz w:val="18"/>
          <w:szCs w:val="18"/>
        </w:rPr>
        <w:t xml:space="preserve"> tarihli ve 29197 sayılı </w:t>
      </w:r>
      <w:proofErr w:type="spellStart"/>
      <w:r w:rsidRPr="00117FB0">
        <w:rPr>
          <w:iCs/>
          <w:color w:val="1C283D"/>
          <w:sz w:val="18"/>
          <w:szCs w:val="18"/>
        </w:rPr>
        <w:t>Resmiî</w:t>
      </w:r>
      <w:proofErr w:type="spellEnd"/>
      <w:r w:rsidRPr="00117FB0">
        <w:rPr>
          <w:iCs/>
          <w:color w:val="1C283D"/>
          <w:sz w:val="18"/>
          <w:szCs w:val="18"/>
        </w:rPr>
        <w:t xml:space="preserve"> </w:t>
      </w:r>
      <w:proofErr w:type="spellStart"/>
      <w:r w:rsidRPr="00117FB0">
        <w:rPr>
          <w:iCs/>
          <w:color w:val="1C283D"/>
          <w:sz w:val="18"/>
          <w:szCs w:val="18"/>
        </w:rPr>
        <w:t>Gazete’de</w:t>
      </w:r>
      <w:proofErr w:type="spellEnd"/>
      <w:r w:rsidRPr="00117FB0">
        <w:rPr>
          <w:iCs/>
          <w:color w:val="1C283D"/>
          <w:sz w:val="18"/>
          <w:szCs w:val="18"/>
        </w:rPr>
        <w:t xml:space="preserve"> yayımlanan “Taşınır Mal Yönetmeliği Genel Tebliği (Sayı: 1)’</w:t>
      </w:r>
      <w:proofErr w:type="spellStart"/>
      <w:r w:rsidRPr="00117FB0">
        <w:rPr>
          <w:iCs/>
          <w:color w:val="1C283D"/>
          <w:sz w:val="18"/>
          <w:szCs w:val="18"/>
        </w:rPr>
        <w:t>nde</w:t>
      </w:r>
      <w:proofErr w:type="spellEnd"/>
      <w:r w:rsidRPr="00117FB0">
        <w:rPr>
          <w:iCs/>
          <w:color w:val="1C283D"/>
          <w:sz w:val="18"/>
          <w:szCs w:val="18"/>
        </w:rPr>
        <w:t xml:space="preserve"> Değişiklik Yapılmasına Dair Tebliğ” ile metne işlendiği biçimde değiştirilmiştir.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45428"/>
    <w:multiLevelType w:val="hybridMultilevel"/>
    <w:tmpl w:val="30E2CF3C"/>
    <w:lvl w:ilvl="0" w:tplc="87CE8DC4">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
    <w:nsid w:val="314F63E7"/>
    <w:multiLevelType w:val="hybridMultilevel"/>
    <w:tmpl w:val="4AB453A0"/>
    <w:lvl w:ilvl="0" w:tplc="E730DF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185DD5"/>
    <w:multiLevelType w:val="hybridMultilevel"/>
    <w:tmpl w:val="1E086338"/>
    <w:lvl w:ilvl="0" w:tplc="E4E60E10">
      <w:start w:val="4"/>
      <w:numFmt w:val="decimal"/>
      <w:lvlText w:val="%1."/>
      <w:lvlJc w:val="left"/>
      <w:pPr>
        <w:tabs>
          <w:tab w:val="num" w:pos="1069"/>
        </w:tabs>
        <w:ind w:left="1069" w:hanging="360"/>
      </w:pPr>
      <w:rPr>
        <w:rFonts w:hint="default"/>
      </w:rPr>
    </w:lvl>
    <w:lvl w:ilvl="1" w:tplc="E90863BE">
      <w:start w:val="2"/>
      <w:numFmt w:val="decimal"/>
      <w:lvlText w:val="(%2)"/>
      <w:lvlJc w:val="left"/>
      <w:pPr>
        <w:tabs>
          <w:tab w:val="num" w:pos="1789"/>
        </w:tabs>
        <w:ind w:left="1789" w:hanging="360"/>
      </w:pPr>
      <w:rPr>
        <w:rFonts w:hint="default"/>
      </w:r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A1"/>
    <w:rsid w:val="000D62A1"/>
    <w:rsid w:val="00117FB0"/>
    <w:rsid w:val="002607FC"/>
    <w:rsid w:val="00280B61"/>
    <w:rsid w:val="00482D71"/>
    <w:rsid w:val="004A4A9B"/>
    <w:rsid w:val="005A1D2A"/>
    <w:rsid w:val="005E55CB"/>
    <w:rsid w:val="00607F1F"/>
    <w:rsid w:val="0065058B"/>
    <w:rsid w:val="006F640C"/>
    <w:rsid w:val="00842872"/>
    <w:rsid w:val="00940032"/>
    <w:rsid w:val="00A70FAE"/>
    <w:rsid w:val="00AD6778"/>
    <w:rsid w:val="00B56FF9"/>
    <w:rsid w:val="00B736E7"/>
    <w:rsid w:val="00D23C2B"/>
    <w:rsid w:val="00E130B6"/>
    <w:rsid w:val="00E643D4"/>
    <w:rsid w:val="00E66C90"/>
    <w:rsid w:val="00EB4610"/>
    <w:rsid w:val="00ED35C5"/>
    <w:rsid w:val="00EE551F"/>
    <w:rsid w:val="00F6320B"/>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A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70FAE"/>
    <w:pPr>
      <w:keepNext/>
      <w:ind w:left="708"/>
      <w:jc w:val="both"/>
      <w:outlineLvl w:val="1"/>
    </w:pPr>
    <w:rPr>
      <w:b/>
      <w:szCs w:val="20"/>
    </w:rPr>
  </w:style>
  <w:style w:type="paragraph" w:styleId="Balk3">
    <w:name w:val="heading 3"/>
    <w:basedOn w:val="Normal"/>
    <w:next w:val="Normal"/>
    <w:link w:val="Balk3Char"/>
    <w:qFormat/>
    <w:rsid w:val="00A70FAE"/>
    <w:pPr>
      <w:keepNext/>
      <w:spacing w:before="240" w:after="60"/>
      <w:outlineLvl w:val="2"/>
    </w:pPr>
    <w:rPr>
      <w:rFonts w:ascii="Arial" w:hAnsi="Arial"/>
      <w:szCs w:val="20"/>
    </w:rPr>
  </w:style>
  <w:style w:type="paragraph" w:styleId="Balk4">
    <w:name w:val="heading 4"/>
    <w:basedOn w:val="Normal"/>
    <w:next w:val="Normal"/>
    <w:link w:val="Balk4Char"/>
    <w:qFormat/>
    <w:rsid w:val="00A70FAE"/>
    <w:pPr>
      <w:keepNext/>
      <w:jc w:val="center"/>
      <w:outlineLvl w:val="3"/>
    </w:pPr>
    <w:rPr>
      <w:b/>
      <w:szCs w:val="20"/>
    </w:rPr>
  </w:style>
  <w:style w:type="paragraph" w:styleId="Balk5">
    <w:name w:val="heading 5"/>
    <w:basedOn w:val="Normal"/>
    <w:next w:val="Normal"/>
    <w:link w:val="Balk5Char"/>
    <w:qFormat/>
    <w:rsid w:val="00A70FAE"/>
    <w:pPr>
      <w:keepNext/>
      <w:ind w:firstLine="709"/>
      <w:jc w:val="both"/>
      <w:outlineLvl w:val="4"/>
    </w:pPr>
    <w:rPr>
      <w:b/>
      <w:szCs w:val="20"/>
    </w:rPr>
  </w:style>
  <w:style w:type="paragraph" w:styleId="Balk6">
    <w:name w:val="heading 6"/>
    <w:basedOn w:val="Normal"/>
    <w:next w:val="Normal"/>
    <w:link w:val="Balk6Char"/>
    <w:qFormat/>
    <w:rsid w:val="00A70FAE"/>
    <w:pPr>
      <w:keepNext/>
      <w:outlineLvl w:val="5"/>
    </w:pPr>
    <w:rPr>
      <w:b/>
      <w:bCs/>
    </w:rPr>
  </w:style>
  <w:style w:type="paragraph" w:styleId="Balk8">
    <w:name w:val="heading 8"/>
    <w:basedOn w:val="Normal"/>
    <w:next w:val="Normal"/>
    <w:link w:val="Balk8Char"/>
    <w:qFormat/>
    <w:rsid w:val="00A70FAE"/>
    <w:pPr>
      <w:keepNext/>
      <w:jc w:val="center"/>
      <w:outlineLvl w:val="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70FAE"/>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A70FAE"/>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A70FAE"/>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A70FAE"/>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A70FAE"/>
    <w:rPr>
      <w:rFonts w:ascii="Times New Roman" w:eastAsia="Times New Roman" w:hAnsi="Times New Roman" w:cs="Times New Roman"/>
      <w:b/>
      <w:bCs/>
      <w:sz w:val="24"/>
      <w:szCs w:val="24"/>
      <w:lang w:eastAsia="tr-TR"/>
    </w:rPr>
  </w:style>
  <w:style w:type="character" w:customStyle="1" w:styleId="Balk8Char">
    <w:name w:val="Başlık 8 Char"/>
    <w:basedOn w:val="VarsaylanParagrafYazTipi"/>
    <w:link w:val="Balk8"/>
    <w:rsid w:val="00A70FAE"/>
    <w:rPr>
      <w:rFonts w:ascii="Times New Roman" w:eastAsia="Times New Roman" w:hAnsi="Times New Roman" w:cs="Times New Roman"/>
      <w:sz w:val="24"/>
      <w:szCs w:val="24"/>
      <w:lang w:eastAsia="tr-TR"/>
    </w:rPr>
  </w:style>
  <w:style w:type="character" w:styleId="Kpr">
    <w:name w:val="Hyperlink"/>
    <w:basedOn w:val="VarsaylanParagrafYazTipi"/>
    <w:semiHidden/>
    <w:rsid w:val="00A70FAE"/>
    <w:rPr>
      <w:color w:val="0000FF"/>
      <w:u w:val="single"/>
    </w:rPr>
  </w:style>
  <w:style w:type="paragraph" w:styleId="Altbilgi">
    <w:name w:val="footer"/>
    <w:basedOn w:val="Normal"/>
    <w:link w:val="AltbilgiChar"/>
    <w:semiHidden/>
    <w:rsid w:val="00A70FAE"/>
    <w:pPr>
      <w:tabs>
        <w:tab w:val="center" w:pos="4536"/>
        <w:tab w:val="right" w:pos="9072"/>
      </w:tabs>
    </w:pPr>
  </w:style>
  <w:style w:type="character" w:customStyle="1" w:styleId="AltbilgiChar">
    <w:name w:val="Altbilgi Char"/>
    <w:basedOn w:val="VarsaylanParagrafYazTipi"/>
    <w:link w:val="Altbilgi"/>
    <w:semiHidden/>
    <w:rsid w:val="00A70FAE"/>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A70FAE"/>
    <w:rPr>
      <w:sz w:val="20"/>
      <w:szCs w:val="20"/>
    </w:rPr>
  </w:style>
  <w:style w:type="character" w:customStyle="1" w:styleId="DipnotMetniChar">
    <w:name w:val="Dipnot Metni Char"/>
    <w:basedOn w:val="VarsaylanParagrafYazTipi"/>
    <w:link w:val="DipnotMetni"/>
    <w:uiPriority w:val="99"/>
    <w:semiHidden/>
    <w:rsid w:val="00A70FA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70FAE"/>
    <w:rPr>
      <w:vertAlign w:val="superscript"/>
    </w:rPr>
  </w:style>
  <w:style w:type="paragraph" w:styleId="ListeParagraf">
    <w:name w:val="List Paragraph"/>
    <w:basedOn w:val="Normal"/>
    <w:uiPriority w:val="34"/>
    <w:qFormat/>
    <w:rsid w:val="00E66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A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70FAE"/>
    <w:pPr>
      <w:keepNext/>
      <w:ind w:left="708"/>
      <w:jc w:val="both"/>
      <w:outlineLvl w:val="1"/>
    </w:pPr>
    <w:rPr>
      <w:b/>
      <w:szCs w:val="20"/>
    </w:rPr>
  </w:style>
  <w:style w:type="paragraph" w:styleId="Balk3">
    <w:name w:val="heading 3"/>
    <w:basedOn w:val="Normal"/>
    <w:next w:val="Normal"/>
    <w:link w:val="Balk3Char"/>
    <w:qFormat/>
    <w:rsid w:val="00A70FAE"/>
    <w:pPr>
      <w:keepNext/>
      <w:spacing w:before="240" w:after="60"/>
      <w:outlineLvl w:val="2"/>
    </w:pPr>
    <w:rPr>
      <w:rFonts w:ascii="Arial" w:hAnsi="Arial"/>
      <w:szCs w:val="20"/>
    </w:rPr>
  </w:style>
  <w:style w:type="paragraph" w:styleId="Balk4">
    <w:name w:val="heading 4"/>
    <w:basedOn w:val="Normal"/>
    <w:next w:val="Normal"/>
    <w:link w:val="Balk4Char"/>
    <w:qFormat/>
    <w:rsid w:val="00A70FAE"/>
    <w:pPr>
      <w:keepNext/>
      <w:jc w:val="center"/>
      <w:outlineLvl w:val="3"/>
    </w:pPr>
    <w:rPr>
      <w:b/>
      <w:szCs w:val="20"/>
    </w:rPr>
  </w:style>
  <w:style w:type="paragraph" w:styleId="Balk5">
    <w:name w:val="heading 5"/>
    <w:basedOn w:val="Normal"/>
    <w:next w:val="Normal"/>
    <w:link w:val="Balk5Char"/>
    <w:qFormat/>
    <w:rsid w:val="00A70FAE"/>
    <w:pPr>
      <w:keepNext/>
      <w:ind w:firstLine="709"/>
      <w:jc w:val="both"/>
      <w:outlineLvl w:val="4"/>
    </w:pPr>
    <w:rPr>
      <w:b/>
      <w:szCs w:val="20"/>
    </w:rPr>
  </w:style>
  <w:style w:type="paragraph" w:styleId="Balk6">
    <w:name w:val="heading 6"/>
    <w:basedOn w:val="Normal"/>
    <w:next w:val="Normal"/>
    <w:link w:val="Balk6Char"/>
    <w:qFormat/>
    <w:rsid w:val="00A70FAE"/>
    <w:pPr>
      <w:keepNext/>
      <w:outlineLvl w:val="5"/>
    </w:pPr>
    <w:rPr>
      <w:b/>
      <w:bCs/>
    </w:rPr>
  </w:style>
  <w:style w:type="paragraph" w:styleId="Balk8">
    <w:name w:val="heading 8"/>
    <w:basedOn w:val="Normal"/>
    <w:next w:val="Normal"/>
    <w:link w:val="Balk8Char"/>
    <w:qFormat/>
    <w:rsid w:val="00A70FAE"/>
    <w:pPr>
      <w:keepNext/>
      <w:jc w:val="center"/>
      <w:outlineLvl w:val="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70FAE"/>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A70FAE"/>
    <w:rPr>
      <w:rFonts w:ascii="Arial" w:eastAsia="Times New Roman" w:hAnsi="Arial" w:cs="Times New Roman"/>
      <w:sz w:val="24"/>
      <w:szCs w:val="20"/>
      <w:lang w:eastAsia="tr-TR"/>
    </w:rPr>
  </w:style>
  <w:style w:type="character" w:customStyle="1" w:styleId="Balk4Char">
    <w:name w:val="Başlık 4 Char"/>
    <w:basedOn w:val="VarsaylanParagrafYazTipi"/>
    <w:link w:val="Balk4"/>
    <w:rsid w:val="00A70FAE"/>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A70FAE"/>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A70FAE"/>
    <w:rPr>
      <w:rFonts w:ascii="Times New Roman" w:eastAsia="Times New Roman" w:hAnsi="Times New Roman" w:cs="Times New Roman"/>
      <w:b/>
      <w:bCs/>
      <w:sz w:val="24"/>
      <w:szCs w:val="24"/>
      <w:lang w:eastAsia="tr-TR"/>
    </w:rPr>
  </w:style>
  <w:style w:type="character" w:customStyle="1" w:styleId="Balk8Char">
    <w:name w:val="Başlık 8 Char"/>
    <w:basedOn w:val="VarsaylanParagrafYazTipi"/>
    <w:link w:val="Balk8"/>
    <w:rsid w:val="00A70FAE"/>
    <w:rPr>
      <w:rFonts w:ascii="Times New Roman" w:eastAsia="Times New Roman" w:hAnsi="Times New Roman" w:cs="Times New Roman"/>
      <w:sz w:val="24"/>
      <w:szCs w:val="24"/>
      <w:lang w:eastAsia="tr-TR"/>
    </w:rPr>
  </w:style>
  <w:style w:type="character" w:styleId="Kpr">
    <w:name w:val="Hyperlink"/>
    <w:basedOn w:val="VarsaylanParagrafYazTipi"/>
    <w:semiHidden/>
    <w:rsid w:val="00A70FAE"/>
    <w:rPr>
      <w:color w:val="0000FF"/>
      <w:u w:val="single"/>
    </w:rPr>
  </w:style>
  <w:style w:type="paragraph" w:styleId="Altbilgi">
    <w:name w:val="footer"/>
    <w:basedOn w:val="Normal"/>
    <w:link w:val="AltbilgiChar"/>
    <w:semiHidden/>
    <w:rsid w:val="00A70FAE"/>
    <w:pPr>
      <w:tabs>
        <w:tab w:val="center" w:pos="4536"/>
        <w:tab w:val="right" w:pos="9072"/>
      </w:tabs>
    </w:pPr>
  </w:style>
  <w:style w:type="character" w:customStyle="1" w:styleId="AltbilgiChar">
    <w:name w:val="Altbilgi Char"/>
    <w:basedOn w:val="VarsaylanParagrafYazTipi"/>
    <w:link w:val="Altbilgi"/>
    <w:semiHidden/>
    <w:rsid w:val="00A70FAE"/>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A70FAE"/>
    <w:rPr>
      <w:sz w:val="20"/>
      <w:szCs w:val="20"/>
    </w:rPr>
  </w:style>
  <w:style w:type="character" w:customStyle="1" w:styleId="DipnotMetniChar">
    <w:name w:val="Dipnot Metni Char"/>
    <w:basedOn w:val="VarsaylanParagrafYazTipi"/>
    <w:link w:val="DipnotMetni"/>
    <w:uiPriority w:val="99"/>
    <w:semiHidden/>
    <w:rsid w:val="00A70FA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A70FAE"/>
    <w:rPr>
      <w:vertAlign w:val="superscript"/>
    </w:rPr>
  </w:style>
  <w:style w:type="paragraph" w:styleId="ListeParagraf">
    <w:name w:val="List Paragraph"/>
    <w:basedOn w:val="Normal"/>
    <w:uiPriority w:val="34"/>
    <w:qFormat/>
    <w:rsid w:val="00E6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uhasebat.gov.tr" TargetMode="Externa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B2D277B605B0CB4088AD70BB203A4828" ma:contentTypeVersion="1" ma:contentTypeDescription="Yeni belge oluşturun." ma:contentTypeScope="" ma:versionID="727430d5504c22f083996fa581a1c735">
  <xsd:schema xmlns:xsd="http://www.w3.org/2001/XMLSchema" xmlns:xs="http://www.w3.org/2001/XMLSchema" xmlns:p="http://schemas.microsoft.com/office/2006/metadata/properties" targetNamespace="http://schemas.microsoft.com/office/2006/metadata/properties" ma:root="true" ma:fieldsID="76ddd05f9fd47d6de83121fc7a97ab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EDF8D-8161-414E-9FB1-8E92A8C8E924}"/>
</file>

<file path=customXml/itemProps2.xml><?xml version="1.0" encoding="utf-8"?>
<ds:datastoreItem xmlns:ds="http://schemas.openxmlformats.org/officeDocument/2006/customXml" ds:itemID="{F0AF9B37-C337-481D-BDF4-976BBEFD5DF6}"/>
</file>

<file path=customXml/itemProps3.xml><?xml version="1.0" encoding="utf-8"?>
<ds:datastoreItem xmlns:ds="http://schemas.openxmlformats.org/officeDocument/2006/customXml" ds:itemID="{7C892DB4-00EB-45A6-BFDA-AC4BA323841B}"/>
</file>

<file path=customXml/itemProps4.xml><?xml version="1.0" encoding="utf-8"?>
<ds:datastoreItem xmlns:ds="http://schemas.openxmlformats.org/officeDocument/2006/customXml" ds:itemID="{1CADBF7F-C43E-4983-83F1-5EA75B0202C7}"/>
</file>

<file path=docProps/app.xml><?xml version="1.0" encoding="utf-8"?>
<Properties xmlns="http://schemas.openxmlformats.org/officeDocument/2006/extended-properties" xmlns:vt="http://schemas.openxmlformats.org/officeDocument/2006/docPropsVTypes">
  <Template>Normal</Template>
  <TotalTime>9</TotalTime>
  <Pages>1</Pages>
  <Words>1223</Words>
  <Characters>6977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Muhasebat Gn.Md.</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 Kuzbınar</dc:creator>
  <cp:lastModifiedBy>Mustafa PEKDEMİR</cp:lastModifiedBy>
  <cp:revision>8</cp:revision>
  <dcterms:created xsi:type="dcterms:W3CDTF">2015-01-08T11:29:00Z</dcterms:created>
  <dcterms:modified xsi:type="dcterms:W3CDTF">2015-11-30T12:30:00Z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0x010100B2D277B605B0CB4088AD70BB203A4828</vt:lpwstr>
  </property>
</Properties>
</file>