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E6" w:rsidRDefault="00054EE6" w:rsidP="00A257B4">
      <w:pPr>
        <w:pStyle w:val="NormalWeb"/>
        <w:shd w:val="clear" w:color="auto" w:fill="FFFFFF"/>
        <w:jc w:val="both"/>
        <w:rPr>
          <w:rFonts w:ascii="Segoe UI" w:hAnsi="Segoe UI" w:cs="Segoe UI"/>
          <w:color w:val="212121"/>
          <w:sz w:val="23"/>
          <w:szCs w:val="23"/>
        </w:rPr>
      </w:pPr>
      <w:r>
        <w:rPr>
          <w:rFonts w:ascii="Segoe UI" w:hAnsi="Segoe UI" w:cs="Segoe UI"/>
          <w:noProof/>
          <w:color w:val="212121"/>
          <w:sz w:val="23"/>
          <w:szCs w:val="23"/>
        </w:rPr>
        <w:drawing>
          <wp:inline distT="0" distB="0" distL="0" distR="0" wp14:anchorId="10DA60B7">
            <wp:extent cx="2959100" cy="118683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0889" cy="1195575"/>
                    </a:xfrm>
                    <a:prstGeom prst="rect">
                      <a:avLst/>
                    </a:prstGeom>
                    <a:noFill/>
                  </pic:spPr>
                </pic:pic>
              </a:graphicData>
            </a:graphic>
          </wp:inline>
        </w:drawing>
      </w:r>
    </w:p>
    <w:p w:rsidR="00054EE6" w:rsidRPr="00054EE6" w:rsidRDefault="00054EE6" w:rsidP="00A257B4">
      <w:pPr>
        <w:pStyle w:val="NormalWeb"/>
        <w:shd w:val="clear" w:color="auto" w:fill="FFFFFF"/>
        <w:jc w:val="both"/>
        <w:rPr>
          <w:rFonts w:ascii="Segoe UI" w:hAnsi="Segoe UI" w:cs="Segoe UI"/>
          <w:b/>
          <w:i/>
          <w:color w:val="538135" w:themeColor="accent6" w:themeShade="BF"/>
          <w:sz w:val="23"/>
          <w:szCs w:val="23"/>
        </w:rPr>
      </w:pPr>
      <w:r w:rsidRPr="00054EE6">
        <w:rPr>
          <w:rFonts w:ascii="Segoe UI" w:hAnsi="Segoe UI" w:cs="Segoe UI"/>
          <w:b/>
          <w:i/>
          <w:color w:val="538135" w:themeColor="accent6" w:themeShade="BF"/>
          <w:sz w:val="23"/>
          <w:szCs w:val="23"/>
        </w:rPr>
        <w:t xml:space="preserve">ERA-NET </w:t>
      </w:r>
      <w:proofErr w:type="spellStart"/>
      <w:r w:rsidRPr="00054EE6">
        <w:rPr>
          <w:rFonts w:ascii="Segoe UI" w:hAnsi="Segoe UI" w:cs="Segoe UI"/>
          <w:b/>
          <w:i/>
          <w:color w:val="538135" w:themeColor="accent6" w:themeShade="BF"/>
          <w:sz w:val="23"/>
          <w:szCs w:val="23"/>
        </w:rPr>
        <w:t>Cofund</w:t>
      </w:r>
      <w:proofErr w:type="spellEnd"/>
      <w:r w:rsidRPr="00054EE6">
        <w:rPr>
          <w:rFonts w:ascii="Segoe UI" w:hAnsi="Segoe UI" w:cs="Segoe UI"/>
          <w:b/>
          <w:i/>
          <w:color w:val="538135" w:themeColor="accent6" w:themeShade="BF"/>
          <w:sz w:val="23"/>
          <w:szCs w:val="23"/>
        </w:rPr>
        <w:t xml:space="preserve"> Projeleri Ortak Çağrı Duyurusu</w:t>
      </w:r>
    </w:p>
    <w:p w:rsidR="00054EE6" w:rsidRPr="00054EE6" w:rsidRDefault="00054EE6" w:rsidP="00A257B4">
      <w:pPr>
        <w:pStyle w:val="NormalWeb"/>
        <w:shd w:val="clear" w:color="auto" w:fill="FFFFFF"/>
        <w:jc w:val="both"/>
        <w:rPr>
          <w:rFonts w:ascii="Segoe UI" w:hAnsi="Segoe UI" w:cs="Segoe UI"/>
          <w:b/>
          <w:i/>
          <w:color w:val="538135" w:themeColor="accent6" w:themeShade="BF"/>
          <w:sz w:val="23"/>
          <w:szCs w:val="23"/>
        </w:rPr>
      </w:pPr>
      <w:r w:rsidRPr="00054EE6">
        <w:rPr>
          <w:rFonts w:ascii="Segoe UI" w:hAnsi="Segoe UI" w:cs="Segoe UI"/>
          <w:b/>
          <w:i/>
          <w:color w:val="538135" w:themeColor="accent6" w:themeShade="BF"/>
          <w:sz w:val="23"/>
          <w:szCs w:val="23"/>
        </w:rPr>
        <w:t xml:space="preserve">“Bit Teknolojilerine Dayalı Gıda Değer Zinciri Boyunca Tüketiciler Ve Diğer Paydaşlar İçin Daha </w:t>
      </w:r>
      <w:r w:rsidR="0030687D">
        <w:rPr>
          <w:rFonts w:ascii="Segoe UI" w:hAnsi="Segoe UI" w:cs="Segoe UI"/>
          <w:b/>
          <w:i/>
          <w:color w:val="538135" w:themeColor="accent6" w:themeShade="BF"/>
          <w:sz w:val="23"/>
          <w:szCs w:val="23"/>
        </w:rPr>
        <w:t xml:space="preserve">Şeffaf Tarım-Gıda Sistemleri” </w:t>
      </w:r>
      <w:bookmarkStart w:id="0" w:name="_GoBack"/>
      <w:bookmarkEnd w:id="0"/>
      <w:r w:rsidRPr="00054EE6">
        <w:rPr>
          <w:rFonts w:ascii="Segoe UI" w:hAnsi="Segoe UI" w:cs="Segoe UI"/>
          <w:b/>
          <w:i/>
          <w:color w:val="538135" w:themeColor="accent6" w:themeShade="BF"/>
          <w:sz w:val="23"/>
          <w:szCs w:val="23"/>
        </w:rPr>
        <w:t xml:space="preserve"> Proje çağrısı</w:t>
      </w:r>
    </w:p>
    <w:p w:rsidR="00A257B4" w:rsidRDefault="00A257B4" w:rsidP="00A257B4">
      <w:pPr>
        <w:pStyle w:val="NormalWeb"/>
        <w:shd w:val="clear" w:color="auto" w:fill="FFFFFF"/>
        <w:jc w:val="both"/>
      </w:pPr>
      <w:r w:rsidRPr="00A257B4">
        <w:t>TAGEM ’in</w:t>
      </w:r>
      <w:r w:rsidR="00723E05" w:rsidRPr="00A257B4">
        <w:t xml:space="preserve"> ortak olarak yer aldığı ICT-AGRI-FOOD (ICT-</w:t>
      </w:r>
      <w:proofErr w:type="spellStart"/>
      <w:r w:rsidR="00723E05" w:rsidRPr="00A257B4">
        <w:t>enabled</w:t>
      </w:r>
      <w:proofErr w:type="spellEnd"/>
      <w:r w:rsidR="00723E05" w:rsidRPr="00A257B4">
        <w:t xml:space="preserve"> </w:t>
      </w:r>
      <w:proofErr w:type="spellStart"/>
      <w:r w:rsidR="00723E05" w:rsidRPr="00A257B4">
        <w:t>agri-food</w:t>
      </w:r>
      <w:proofErr w:type="spellEnd"/>
      <w:r w:rsidR="00723E05" w:rsidRPr="00A257B4">
        <w:t xml:space="preserve"> </w:t>
      </w:r>
      <w:proofErr w:type="spellStart"/>
      <w:r w:rsidR="00723E05" w:rsidRPr="00A257B4">
        <w:t>systems</w:t>
      </w:r>
      <w:proofErr w:type="spellEnd"/>
      <w:r w:rsidR="00723E05" w:rsidRPr="00A257B4">
        <w:t xml:space="preserve">) </w:t>
      </w:r>
      <w:proofErr w:type="spellStart"/>
      <w:r w:rsidR="00723E05" w:rsidRPr="00A257B4">
        <w:t>Era</w:t>
      </w:r>
      <w:proofErr w:type="spellEnd"/>
      <w:r w:rsidR="00723E05" w:rsidRPr="00A257B4">
        <w:t xml:space="preserve">-Net </w:t>
      </w:r>
      <w:proofErr w:type="spellStart"/>
      <w:r w:rsidR="00723E05" w:rsidRPr="00A257B4">
        <w:t>Cofund</w:t>
      </w:r>
      <w:proofErr w:type="spellEnd"/>
      <w:r w:rsidR="00723E05" w:rsidRPr="00A257B4">
        <w:t xml:space="preserve"> projesi kapsamında</w:t>
      </w:r>
      <w:r w:rsidRPr="00A257B4">
        <w:t xml:space="preserve"> </w:t>
      </w:r>
      <w:r>
        <w:t xml:space="preserve">2022 yılı çağrısı </w:t>
      </w:r>
      <w:proofErr w:type="gramStart"/>
      <w:r>
        <w:t>03/05/2022</w:t>
      </w:r>
      <w:proofErr w:type="gramEnd"/>
      <w:r>
        <w:t xml:space="preserve"> tarihinde açılmıştır. İlgili çağrı kapsamında, Avrupa tarım-gıda sistemlerinin </w:t>
      </w:r>
      <w:r>
        <w:rPr>
          <w:rStyle w:val="Gl"/>
        </w:rPr>
        <w:t>sürdürülebilir, esnek, adil ve şeffaf sistemlere dönüşümü amacıyla dijital çözümlerin</w:t>
      </w:r>
      <w:r>
        <w:t xml:space="preserve"> geliştirilmesini hedef alan çok uluslu, çok disiplinli araştırma ve yenilik projeleri desteklenecektir.</w:t>
      </w:r>
    </w:p>
    <w:p w:rsidR="00A257B4" w:rsidRDefault="00A257B4" w:rsidP="00A257B4">
      <w:pPr>
        <w:pStyle w:val="NormalWeb"/>
        <w:shd w:val="clear" w:color="auto" w:fill="FFFFFF"/>
        <w:jc w:val="both"/>
      </w:pPr>
      <w:r>
        <w:t xml:space="preserve">Çağrı kapsamında; hassas tarım, akıllı gıda-tarım sistemleri, lojistik, gıda işleme, tedarik zinciri yönetimi ve ticarileştirme için </w:t>
      </w:r>
      <w:r>
        <w:rPr>
          <w:rStyle w:val="Gl"/>
        </w:rPr>
        <w:t xml:space="preserve">yeni dijital teknolojilerin/çözümlerin </w:t>
      </w:r>
      <w:r>
        <w:t xml:space="preserve">(Ör: Uzaktan algılama, veri analizi/Büyük Veri,  Yapay </w:t>
      </w:r>
      <w:proofErr w:type="gramStart"/>
      <w:r>
        <w:t>Zeka</w:t>
      </w:r>
      <w:proofErr w:type="gramEnd"/>
      <w:r>
        <w:t xml:space="preserve">, Nesnelerin İnterneti, otomasyon ve </w:t>
      </w:r>
      <w:proofErr w:type="spellStart"/>
      <w:r>
        <w:t>robotiks</w:t>
      </w:r>
      <w:proofErr w:type="spellEnd"/>
      <w:r>
        <w:t xml:space="preserve">) geliştirilmesi ve entegrasyonu ile çiftçiden tüketiciye, politika belirleyicileri ve gıda otoritelerine kadar tüm </w:t>
      </w:r>
      <w:r>
        <w:rPr>
          <w:rStyle w:val="Gl"/>
        </w:rPr>
        <w:t xml:space="preserve">gıda-değer zinciri paydaşları </w:t>
      </w:r>
      <w:r>
        <w:t xml:space="preserve">için </w:t>
      </w:r>
      <w:r>
        <w:rPr>
          <w:rStyle w:val="Gl"/>
        </w:rPr>
        <w:t>şeffaflık ve izlenebilirliğin</w:t>
      </w:r>
      <w:r>
        <w:t xml:space="preserve"> sağlanması beklenmektedir.</w:t>
      </w:r>
    </w:p>
    <w:p w:rsidR="00A257B4" w:rsidRDefault="00A257B4" w:rsidP="00A257B4">
      <w:pPr>
        <w:pStyle w:val="NormalWeb"/>
        <w:shd w:val="clear" w:color="auto" w:fill="FFFFFF"/>
        <w:jc w:val="both"/>
      </w:pPr>
      <w:r>
        <w:t xml:space="preserve">Sunulacak projeler kapsamında, oluşturulan çözüm önerilerinin gıda-değer zinciri boyunca etkileri de göz önünde bulundurulmalı; gıda zinciri boyunca atıklar ve kayıplarla ilgili sorunlar da </w:t>
      </w:r>
      <w:proofErr w:type="gramStart"/>
      <w:r>
        <w:t>dahil</w:t>
      </w:r>
      <w:proofErr w:type="gramEnd"/>
      <w:r>
        <w:t xml:space="preserve"> olmak üzere </w:t>
      </w:r>
      <w:r>
        <w:rPr>
          <w:rStyle w:val="Gl"/>
        </w:rPr>
        <w:t>iki veya daha fazla aşama</w:t>
      </w:r>
      <w:r>
        <w:t xml:space="preserve"> (birincil üretim, imalat ve işleme, gıda paketleme, dağıtım, tüketicilerin davranış ve tutumu, yemek hizmetleri (</w:t>
      </w:r>
      <w:proofErr w:type="spellStart"/>
      <w:r>
        <w:t>catering</w:t>
      </w:r>
      <w:proofErr w:type="spellEnd"/>
      <w:r>
        <w:t>) vb.) için etkilerin incelenmesi istenmektedir. Şeffaflık, gıda izlenebilirliği ve orijinalliği ile ekonomik planlamanın sağlanmasında çok önemli bir faktör olup bu çağrının ana temasını oluşturmaktadır. Sürdürülebilirlik faktörü de hem çevresel hem de sosyal ve ekonomik açıdan ele alınmalıdır.</w:t>
      </w:r>
    </w:p>
    <w:p w:rsidR="00A257B4" w:rsidRDefault="00A257B4" w:rsidP="00A257B4">
      <w:pPr>
        <w:pStyle w:val="NormalWeb"/>
        <w:shd w:val="clear" w:color="auto" w:fill="FFFFFF"/>
        <w:jc w:val="both"/>
      </w:pPr>
      <w:r>
        <w:rPr>
          <w:rStyle w:val="Gl"/>
        </w:rPr>
        <w:t>Çağrının Kapsadığı Tematik Alanlar:</w:t>
      </w:r>
    </w:p>
    <w:p w:rsidR="00A257B4" w:rsidRDefault="00A257B4" w:rsidP="00A257B4">
      <w:pPr>
        <w:pStyle w:val="NormalWeb"/>
        <w:shd w:val="clear" w:color="auto" w:fill="FFFFFF"/>
        <w:jc w:val="both"/>
      </w:pPr>
      <w:r>
        <w:rPr>
          <w:rStyle w:val="Gl"/>
        </w:rPr>
        <w:t>KONU 1:</w:t>
      </w:r>
      <w:r>
        <w:t xml:space="preserve"> Gıda-değer zinciri boyunca çiftçiler, tüketiciler ve diğer paydaşlar için daha şeffaf, birbiri ile bağlantılı dijital teknolojilerden yararlanan tarımsal gıda sistemleri</w:t>
      </w:r>
    </w:p>
    <w:p w:rsidR="00A257B4" w:rsidRDefault="00A257B4" w:rsidP="00A257B4">
      <w:pPr>
        <w:pStyle w:val="NormalWeb"/>
        <w:shd w:val="clear" w:color="auto" w:fill="FFFFFF"/>
        <w:jc w:val="both"/>
      </w:pPr>
      <w:r>
        <w:rPr>
          <w:rStyle w:val="Gl"/>
        </w:rPr>
        <w:t>KONU 2:</w:t>
      </w:r>
      <w:r>
        <w:t xml:space="preserve"> Tarımsal gıda sistemlerinde BİT teknolojilerinin benimsenmesinin önündeki engellerin belirlenmesi, ele alınması ve kaldırılması</w:t>
      </w:r>
    </w:p>
    <w:p w:rsidR="00A257B4" w:rsidRDefault="00A257B4" w:rsidP="00A257B4">
      <w:pPr>
        <w:pStyle w:val="NormalWeb"/>
        <w:shd w:val="clear" w:color="auto" w:fill="FFFFFF"/>
        <w:jc w:val="both"/>
      </w:pPr>
      <w:r>
        <w:rPr>
          <w:rStyle w:val="Gl"/>
        </w:rPr>
        <w:t>KONU 3:</w:t>
      </w:r>
      <w:r>
        <w:t xml:space="preserve"> Sürdürülebilir ve esnek tarımsal gıda yönetimi uygulamalarını desteklemek için veriye dayalı ödül ve teşvik sistemlerinin geliştirilmesi ve etki tahmini</w:t>
      </w:r>
    </w:p>
    <w:p w:rsidR="00A257B4" w:rsidRDefault="00A257B4" w:rsidP="00A257B4">
      <w:pPr>
        <w:pStyle w:val="NormalWeb"/>
        <w:shd w:val="clear" w:color="auto" w:fill="FFFFFF"/>
        <w:jc w:val="both"/>
      </w:pPr>
      <w:r>
        <w:t xml:space="preserve">Proje sunacak uluslararası </w:t>
      </w:r>
      <w:proofErr w:type="gramStart"/>
      <w:r>
        <w:t>konsorsiyumun</w:t>
      </w:r>
      <w:proofErr w:type="gramEnd"/>
      <w:r>
        <w:t xml:space="preserve">, </w:t>
      </w:r>
      <w:r>
        <w:rPr>
          <w:rStyle w:val="Gl"/>
        </w:rPr>
        <w:t>çağrıya katılan en az üç farklı ülkeden</w:t>
      </w:r>
      <w:r>
        <w:t xml:space="preserve"> fonlanacak olan üç farklı ortaktan oluşması gerekmektedir. Her ortak kendi ülkesinin </w:t>
      </w:r>
      <w:proofErr w:type="spellStart"/>
      <w:r>
        <w:t>fonlayıcı</w:t>
      </w:r>
      <w:proofErr w:type="spellEnd"/>
      <w:r>
        <w:t xml:space="preserve"> kuruluşu tarafından desteklenecektir. Çağrı kapsamında hazırlanacak ortak proje önerilerinde hem </w:t>
      </w:r>
      <w:r>
        <w:lastRenderedPageBreak/>
        <w:t>uluslararası çağrı başvuru koşullarına hem de ortak ülkelerin ulusal kural ve koşullarına uyma zorunluluğu bulunmaktadır.</w:t>
      </w:r>
    </w:p>
    <w:p w:rsidR="00723E05" w:rsidRDefault="00A257B4" w:rsidP="00A257B4">
      <w:pPr>
        <w:pStyle w:val="NormalWeb"/>
        <w:shd w:val="clear" w:color="auto" w:fill="FFFFFF"/>
        <w:jc w:val="both"/>
        <w:rPr>
          <w:rFonts w:ascii="Segoe UI" w:hAnsi="Segoe UI" w:cs="Segoe UI"/>
          <w:color w:val="212121"/>
          <w:sz w:val="23"/>
          <w:szCs w:val="23"/>
        </w:rPr>
      </w:pPr>
      <w:r>
        <w:t xml:space="preserve">Çağrıya proje sunmak isteyen araştırmacıların </w:t>
      </w:r>
      <w:r>
        <w:rPr>
          <w:rStyle w:val="Gl"/>
        </w:rPr>
        <w:t>uluslararası çağrı ofisine</w:t>
      </w:r>
      <w:r>
        <w:t>  (</w:t>
      </w:r>
      <w:hyperlink r:id="rId5" w:history="1">
        <w:r>
          <w:rPr>
            <w:rStyle w:val="Kpr"/>
          </w:rPr>
          <w:t>https://www.ictagrifood.eu/node/44929</w:t>
        </w:r>
      </w:hyperlink>
      <w:r>
        <w:t xml:space="preserve">), başvuru yapması gerekmektedir. </w:t>
      </w:r>
    </w:p>
    <w:p w:rsidR="00723E05" w:rsidRDefault="00723E05" w:rsidP="00A257B4">
      <w:pPr>
        <w:pStyle w:val="NormalWeb"/>
        <w:shd w:val="clear" w:color="auto" w:fill="FFFFFF"/>
        <w:jc w:val="both"/>
        <w:rPr>
          <w:rFonts w:ascii="Segoe UI" w:hAnsi="Segoe UI" w:cs="Segoe UI"/>
          <w:color w:val="212121"/>
          <w:sz w:val="23"/>
          <w:szCs w:val="23"/>
        </w:rPr>
      </w:pPr>
      <w:r>
        <w:rPr>
          <w:rFonts w:ascii="Segoe UI" w:hAnsi="Segoe UI" w:cs="Segoe UI"/>
          <w:color w:val="212121"/>
          <w:sz w:val="23"/>
          <w:szCs w:val="23"/>
        </w:rPr>
        <w:t>Detaylar için</w:t>
      </w:r>
      <w:r w:rsidR="00A257B4">
        <w:rPr>
          <w:rFonts w:ascii="Segoe UI" w:hAnsi="Segoe UI" w:cs="Segoe UI"/>
          <w:color w:val="212121"/>
          <w:sz w:val="23"/>
          <w:szCs w:val="23"/>
        </w:rPr>
        <w:t xml:space="preserve"> </w:t>
      </w:r>
      <w:hyperlink r:id="rId6" w:history="1">
        <w:r w:rsidR="00A257B4" w:rsidRPr="0082122B">
          <w:rPr>
            <w:rStyle w:val="Kpr"/>
            <w:rFonts w:ascii="Segoe UI" w:hAnsi="Segoe UI" w:cs="Segoe UI"/>
            <w:sz w:val="23"/>
            <w:szCs w:val="23"/>
          </w:rPr>
          <w:t>www.ictagrifood.eu/node/44929</w:t>
        </w:r>
      </w:hyperlink>
    </w:p>
    <w:p w:rsidR="00A257B4" w:rsidRDefault="00A257B4" w:rsidP="00A257B4">
      <w:pPr>
        <w:pStyle w:val="NormalWeb"/>
        <w:shd w:val="clear" w:color="auto" w:fill="FFFFFF"/>
      </w:pPr>
      <w:r>
        <w:t xml:space="preserve">Uluslararası proje önerilerin Ortak Çağrı Sekretaryasına sunulması için son tarih: </w:t>
      </w:r>
      <w:r>
        <w:rPr>
          <w:rStyle w:val="Gl"/>
        </w:rPr>
        <w:t>15.08.2022 (</w:t>
      </w:r>
      <w:proofErr w:type="gramStart"/>
      <w:r>
        <w:rPr>
          <w:rStyle w:val="Gl"/>
        </w:rPr>
        <w:t>13:00</w:t>
      </w:r>
      <w:proofErr w:type="gramEnd"/>
      <w:r>
        <w:rPr>
          <w:rStyle w:val="Gl"/>
        </w:rPr>
        <w:t xml:space="preserve"> CEST)</w:t>
      </w:r>
    </w:p>
    <w:p w:rsidR="00A257B4" w:rsidRDefault="00A257B4" w:rsidP="00A257B4">
      <w:pPr>
        <w:pStyle w:val="NormalWeb"/>
        <w:shd w:val="clear" w:color="auto" w:fill="FFFFFF"/>
        <w:jc w:val="both"/>
        <w:rPr>
          <w:rFonts w:ascii="Segoe UI" w:hAnsi="Segoe UI" w:cs="Segoe UI"/>
          <w:color w:val="212121"/>
          <w:sz w:val="23"/>
          <w:szCs w:val="23"/>
        </w:rPr>
      </w:pPr>
    </w:p>
    <w:p w:rsidR="00723E05" w:rsidRDefault="00723E05" w:rsidP="00A257B4">
      <w:pPr>
        <w:pStyle w:val="NormalWeb"/>
        <w:shd w:val="clear" w:color="auto" w:fill="FFFFFF"/>
        <w:jc w:val="both"/>
        <w:rPr>
          <w:rStyle w:val="Gl"/>
          <w:rFonts w:ascii="Segoe UI" w:hAnsi="Segoe UI" w:cs="Segoe UI"/>
          <w:color w:val="212121"/>
          <w:sz w:val="23"/>
          <w:szCs w:val="23"/>
        </w:rPr>
      </w:pPr>
      <w:r>
        <w:rPr>
          <w:rStyle w:val="Gl"/>
          <w:rFonts w:ascii="Segoe UI" w:hAnsi="Segoe UI" w:cs="Segoe UI"/>
          <w:color w:val="212121"/>
          <w:sz w:val="23"/>
          <w:szCs w:val="23"/>
        </w:rPr>
        <w:t>Çağrı İrtibat Kişileri:</w:t>
      </w:r>
    </w:p>
    <w:p w:rsidR="00054EE6" w:rsidRPr="008B6597" w:rsidRDefault="00054EE6" w:rsidP="00A257B4">
      <w:pPr>
        <w:pStyle w:val="NormalWeb"/>
        <w:shd w:val="clear" w:color="auto" w:fill="FFFFFF"/>
        <w:jc w:val="both"/>
        <w:rPr>
          <w:rStyle w:val="Gl"/>
          <w:rFonts w:ascii="Segoe UI" w:hAnsi="Segoe UI" w:cs="Segoe UI"/>
          <w:b w:val="0"/>
          <w:color w:val="212121"/>
          <w:sz w:val="23"/>
          <w:szCs w:val="23"/>
        </w:rPr>
      </w:pPr>
      <w:r w:rsidRPr="008B6597">
        <w:rPr>
          <w:rStyle w:val="Gl"/>
          <w:rFonts w:ascii="Segoe UI" w:hAnsi="Segoe UI" w:cs="Segoe UI"/>
          <w:b w:val="0"/>
          <w:color w:val="212121"/>
          <w:sz w:val="23"/>
          <w:szCs w:val="23"/>
        </w:rPr>
        <w:t>Hilal AR</w:t>
      </w:r>
    </w:p>
    <w:p w:rsidR="003E199F" w:rsidRPr="008B6597" w:rsidRDefault="003E199F" w:rsidP="00A257B4">
      <w:pPr>
        <w:spacing w:line="280" w:lineRule="atLeast"/>
        <w:jc w:val="both"/>
        <w:rPr>
          <w:rFonts w:ascii="Segoe UI" w:eastAsia="Times New Roman" w:hAnsi="Segoe UI" w:cs="Segoe UI"/>
          <w:color w:val="212121"/>
          <w:sz w:val="23"/>
          <w:szCs w:val="23"/>
          <w:lang w:eastAsia="tr-TR"/>
        </w:rPr>
      </w:pPr>
      <w:proofErr w:type="gramStart"/>
      <w:r w:rsidRPr="008B6597">
        <w:rPr>
          <w:rFonts w:ascii="Segoe UI" w:eastAsia="Times New Roman" w:hAnsi="Segoe UI" w:cs="Segoe UI"/>
          <w:color w:val="212121"/>
          <w:sz w:val="23"/>
          <w:szCs w:val="23"/>
          <w:lang w:eastAsia="tr-TR"/>
        </w:rPr>
        <w:t xml:space="preserve">Tel : </w:t>
      </w:r>
      <w:r w:rsidR="008B6597">
        <w:rPr>
          <w:rFonts w:ascii="Segoe UI" w:eastAsia="Times New Roman" w:hAnsi="Segoe UI" w:cs="Segoe UI"/>
          <w:color w:val="212121"/>
          <w:sz w:val="23"/>
          <w:szCs w:val="23"/>
          <w:lang w:eastAsia="tr-TR"/>
        </w:rPr>
        <w:t>0</w:t>
      </w:r>
      <w:r w:rsidRPr="008B6597">
        <w:rPr>
          <w:rFonts w:ascii="Segoe UI" w:eastAsia="Times New Roman" w:hAnsi="Segoe UI" w:cs="Segoe UI"/>
          <w:color w:val="212121"/>
          <w:sz w:val="23"/>
          <w:szCs w:val="23"/>
          <w:lang w:eastAsia="tr-TR"/>
        </w:rPr>
        <w:t>312</w:t>
      </w:r>
      <w:proofErr w:type="gramEnd"/>
      <w:r w:rsidRPr="008B6597">
        <w:rPr>
          <w:rFonts w:ascii="Segoe UI" w:eastAsia="Times New Roman" w:hAnsi="Segoe UI" w:cs="Segoe UI"/>
          <w:color w:val="212121"/>
          <w:sz w:val="23"/>
          <w:szCs w:val="23"/>
          <w:lang w:eastAsia="tr-TR"/>
        </w:rPr>
        <w:t xml:space="preserve"> 307 61 20</w:t>
      </w:r>
    </w:p>
    <w:p w:rsidR="003E199F" w:rsidRDefault="008B6597" w:rsidP="00A257B4">
      <w:pPr>
        <w:pStyle w:val="Balk2"/>
        <w:jc w:val="both"/>
        <w:rPr>
          <w:lang w:val="pt-PT"/>
        </w:rPr>
      </w:pPr>
      <w:proofErr w:type="gramStart"/>
      <w:r>
        <w:rPr>
          <w:rFonts w:ascii="Times New Roman" w:eastAsia="Times New Roman" w:hAnsi="Times New Roman" w:cs="Times New Roman"/>
          <w:color w:val="auto"/>
          <w:sz w:val="24"/>
          <w:szCs w:val="24"/>
          <w:lang w:val="tr-TR"/>
        </w:rPr>
        <w:t>e</w:t>
      </w:r>
      <w:proofErr w:type="gramEnd"/>
      <w:r>
        <w:rPr>
          <w:rFonts w:ascii="Times New Roman" w:eastAsia="Times New Roman" w:hAnsi="Times New Roman" w:cs="Times New Roman"/>
          <w:color w:val="auto"/>
          <w:sz w:val="24"/>
          <w:szCs w:val="24"/>
          <w:lang w:val="tr-TR"/>
        </w:rPr>
        <w:t>-posta</w:t>
      </w:r>
      <w:r w:rsidR="003E199F" w:rsidRPr="008B6597">
        <w:rPr>
          <w:lang w:val="pt-PT"/>
        </w:rPr>
        <w:t> :</w:t>
      </w:r>
      <w:r w:rsidR="003E199F">
        <w:rPr>
          <w:lang w:val="pt-PT"/>
        </w:rPr>
        <w:t xml:space="preserve"> </w:t>
      </w:r>
      <w:hyperlink r:id="rId7" w:history="1">
        <w:r w:rsidR="003E199F" w:rsidRPr="00AF704B">
          <w:rPr>
            <w:rStyle w:val="Kpr"/>
            <w:lang w:val="pt-PT"/>
          </w:rPr>
          <w:t>hilal.ar@tarimorman.gov.tr</w:t>
        </w:r>
      </w:hyperlink>
    </w:p>
    <w:p w:rsidR="008B6597" w:rsidRDefault="008B6597" w:rsidP="00A257B4">
      <w:pPr>
        <w:jc w:val="both"/>
        <w:rPr>
          <w:rFonts w:ascii="Segoe UI" w:eastAsia="Times New Roman" w:hAnsi="Segoe UI" w:cs="Segoe UI"/>
          <w:color w:val="212121"/>
          <w:sz w:val="23"/>
          <w:szCs w:val="23"/>
          <w:lang w:eastAsia="tr-TR"/>
        </w:rPr>
      </w:pPr>
    </w:p>
    <w:p w:rsidR="00FE3EC1" w:rsidRDefault="008B6597" w:rsidP="00A257B4">
      <w:pPr>
        <w:jc w:val="both"/>
        <w:rPr>
          <w:rFonts w:ascii="Segoe UI" w:eastAsia="Times New Roman" w:hAnsi="Segoe UI" w:cs="Segoe UI"/>
          <w:color w:val="212121"/>
          <w:sz w:val="23"/>
          <w:szCs w:val="23"/>
          <w:lang w:eastAsia="tr-TR"/>
        </w:rPr>
      </w:pPr>
      <w:r w:rsidRPr="008B6597">
        <w:rPr>
          <w:rFonts w:ascii="Segoe UI" w:eastAsia="Times New Roman" w:hAnsi="Segoe UI" w:cs="Segoe UI"/>
          <w:color w:val="212121"/>
          <w:sz w:val="23"/>
          <w:szCs w:val="23"/>
          <w:lang w:eastAsia="tr-TR"/>
        </w:rPr>
        <w:t>Ahmet BUDAKLIER</w:t>
      </w:r>
    </w:p>
    <w:p w:rsidR="008B6597" w:rsidRDefault="008B6597" w:rsidP="00A257B4">
      <w:pPr>
        <w:jc w:val="both"/>
        <w:rPr>
          <w:rFonts w:ascii="Segoe UI" w:eastAsia="Times New Roman" w:hAnsi="Segoe UI" w:cs="Segoe UI"/>
          <w:color w:val="212121"/>
          <w:sz w:val="23"/>
          <w:szCs w:val="23"/>
          <w:lang w:eastAsia="tr-TR"/>
        </w:rPr>
      </w:pPr>
      <w:r>
        <w:rPr>
          <w:rFonts w:ascii="Segoe UI" w:eastAsia="Times New Roman" w:hAnsi="Segoe UI" w:cs="Segoe UI"/>
          <w:color w:val="212121"/>
          <w:sz w:val="23"/>
          <w:szCs w:val="23"/>
          <w:lang w:eastAsia="tr-TR"/>
        </w:rPr>
        <w:t>Tel:</w:t>
      </w:r>
      <w:r w:rsidRPr="008B6597">
        <w:rPr>
          <w:rFonts w:ascii="Segoe UI" w:eastAsia="Times New Roman" w:hAnsi="Segoe UI" w:cs="Segoe UI"/>
          <w:color w:val="212121"/>
          <w:sz w:val="23"/>
          <w:szCs w:val="23"/>
          <w:lang w:eastAsia="tr-TR"/>
        </w:rPr>
        <w:t xml:space="preserve"> </w:t>
      </w:r>
      <w:r>
        <w:rPr>
          <w:rFonts w:ascii="Segoe UI" w:eastAsia="Times New Roman" w:hAnsi="Segoe UI" w:cs="Segoe UI"/>
          <w:color w:val="212121"/>
          <w:sz w:val="23"/>
          <w:szCs w:val="23"/>
          <w:lang w:eastAsia="tr-TR"/>
        </w:rPr>
        <w:t>0</w:t>
      </w:r>
      <w:r w:rsidRPr="008B6597">
        <w:rPr>
          <w:rFonts w:ascii="Segoe UI" w:eastAsia="Times New Roman" w:hAnsi="Segoe UI" w:cs="Segoe UI"/>
          <w:color w:val="212121"/>
          <w:sz w:val="23"/>
          <w:szCs w:val="23"/>
          <w:lang w:eastAsia="tr-TR"/>
        </w:rPr>
        <w:t>312 307</w:t>
      </w:r>
      <w:r>
        <w:rPr>
          <w:rFonts w:ascii="Segoe UI" w:eastAsia="Times New Roman" w:hAnsi="Segoe UI" w:cs="Segoe UI"/>
          <w:color w:val="212121"/>
          <w:sz w:val="23"/>
          <w:szCs w:val="23"/>
          <w:lang w:eastAsia="tr-TR"/>
        </w:rPr>
        <w:t xml:space="preserve"> </w:t>
      </w:r>
      <w:r w:rsidRPr="008B6597">
        <w:rPr>
          <w:rFonts w:ascii="Segoe UI" w:eastAsia="Times New Roman" w:hAnsi="Segoe UI" w:cs="Segoe UI"/>
          <w:color w:val="212121"/>
          <w:sz w:val="23"/>
          <w:szCs w:val="23"/>
          <w:lang w:eastAsia="tr-TR"/>
        </w:rPr>
        <w:t>61</w:t>
      </w:r>
      <w:r>
        <w:rPr>
          <w:rFonts w:ascii="Segoe UI" w:eastAsia="Times New Roman" w:hAnsi="Segoe UI" w:cs="Segoe UI"/>
          <w:color w:val="212121"/>
          <w:sz w:val="23"/>
          <w:szCs w:val="23"/>
          <w:lang w:eastAsia="tr-TR"/>
        </w:rPr>
        <w:t xml:space="preserve"> </w:t>
      </w:r>
      <w:r w:rsidRPr="008B6597">
        <w:rPr>
          <w:rFonts w:ascii="Segoe UI" w:eastAsia="Times New Roman" w:hAnsi="Segoe UI" w:cs="Segoe UI"/>
          <w:color w:val="212121"/>
          <w:sz w:val="23"/>
          <w:szCs w:val="23"/>
          <w:lang w:eastAsia="tr-TR"/>
        </w:rPr>
        <w:t>10</w:t>
      </w:r>
    </w:p>
    <w:p w:rsidR="008B6597" w:rsidRPr="008B6597" w:rsidRDefault="008B6597" w:rsidP="00A257B4">
      <w:pPr>
        <w:jc w:val="both"/>
        <w:rPr>
          <w:rStyle w:val="Kpr"/>
          <w:rFonts w:asciiTheme="majorHAnsi" w:eastAsiaTheme="majorEastAsia" w:hAnsiTheme="majorHAnsi" w:cstheme="majorBidi"/>
          <w:sz w:val="26"/>
          <w:szCs w:val="26"/>
          <w:lang w:val="pt-PT" w:eastAsia="fr-FR"/>
        </w:rPr>
      </w:pPr>
      <w:proofErr w:type="gramStart"/>
      <w:r>
        <w:rPr>
          <w:rFonts w:ascii="Segoe UI" w:eastAsia="Times New Roman" w:hAnsi="Segoe UI" w:cs="Segoe UI"/>
          <w:color w:val="212121"/>
          <w:sz w:val="23"/>
          <w:szCs w:val="23"/>
          <w:lang w:eastAsia="tr-TR"/>
        </w:rPr>
        <w:t>e</w:t>
      </w:r>
      <w:proofErr w:type="gramEnd"/>
      <w:r>
        <w:rPr>
          <w:rFonts w:ascii="Segoe UI" w:eastAsia="Times New Roman" w:hAnsi="Segoe UI" w:cs="Segoe UI"/>
          <w:color w:val="212121"/>
          <w:sz w:val="23"/>
          <w:szCs w:val="23"/>
          <w:lang w:eastAsia="tr-TR"/>
        </w:rPr>
        <w:t xml:space="preserve">-posta: </w:t>
      </w:r>
      <w:r w:rsidRPr="008B6597">
        <w:rPr>
          <w:rStyle w:val="Kpr"/>
          <w:rFonts w:asciiTheme="majorHAnsi" w:eastAsiaTheme="majorEastAsia" w:hAnsiTheme="majorHAnsi" w:cstheme="majorBidi"/>
          <w:sz w:val="26"/>
          <w:szCs w:val="26"/>
          <w:lang w:val="pt-PT" w:eastAsia="fr-FR"/>
        </w:rPr>
        <w:t>ahmet.budaklier@tarimorman.gov.tr</w:t>
      </w:r>
    </w:p>
    <w:sectPr w:rsidR="008B6597" w:rsidRPr="008B6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05"/>
    <w:rsid w:val="00054EE6"/>
    <w:rsid w:val="0030687D"/>
    <w:rsid w:val="003E199F"/>
    <w:rsid w:val="00723E05"/>
    <w:rsid w:val="008B6597"/>
    <w:rsid w:val="009B4137"/>
    <w:rsid w:val="00A257B4"/>
    <w:rsid w:val="00D66E30"/>
    <w:rsid w:val="00FE3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797D-F019-49B5-BD39-0FC365CA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3E19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23E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3E05"/>
    <w:rPr>
      <w:b/>
      <w:bCs/>
    </w:rPr>
  </w:style>
  <w:style w:type="character" w:styleId="Kpr">
    <w:name w:val="Hyperlink"/>
    <w:basedOn w:val="VarsaylanParagrafYazTipi"/>
    <w:uiPriority w:val="99"/>
    <w:unhideWhenUsed/>
    <w:rsid w:val="00723E05"/>
    <w:rPr>
      <w:color w:val="0000FF"/>
      <w:u w:val="single"/>
    </w:rPr>
  </w:style>
  <w:style w:type="character" w:styleId="zlenenKpr">
    <w:name w:val="FollowedHyperlink"/>
    <w:basedOn w:val="VarsaylanParagrafYazTipi"/>
    <w:uiPriority w:val="99"/>
    <w:semiHidden/>
    <w:unhideWhenUsed/>
    <w:rsid w:val="00723E05"/>
    <w:rPr>
      <w:color w:val="954F72" w:themeColor="followedHyperlink"/>
      <w:u w:val="single"/>
    </w:rPr>
  </w:style>
  <w:style w:type="character" w:customStyle="1" w:styleId="Balk2Char">
    <w:name w:val="Başlık 2 Char"/>
    <w:basedOn w:val="VarsaylanParagrafYazTipi"/>
    <w:link w:val="Balk2"/>
    <w:uiPriority w:val="9"/>
    <w:semiHidden/>
    <w:rsid w:val="003E199F"/>
    <w:rPr>
      <w:rFonts w:asciiTheme="majorHAnsi" w:eastAsiaTheme="majorEastAsia" w:hAnsiTheme="majorHAnsi" w:cstheme="majorBidi"/>
      <w:color w:val="2E74B5"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9425">
      <w:bodyDiv w:val="1"/>
      <w:marLeft w:val="0"/>
      <w:marRight w:val="0"/>
      <w:marTop w:val="0"/>
      <w:marBottom w:val="0"/>
      <w:divBdr>
        <w:top w:val="none" w:sz="0" w:space="0" w:color="auto"/>
        <w:left w:val="none" w:sz="0" w:space="0" w:color="auto"/>
        <w:bottom w:val="none" w:sz="0" w:space="0" w:color="auto"/>
        <w:right w:val="none" w:sz="0" w:space="0" w:color="auto"/>
      </w:divBdr>
    </w:div>
    <w:div w:id="904072726">
      <w:bodyDiv w:val="1"/>
      <w:marLeft w:val="0"/>
      <w:marRight w:val="0"/>
      <w:marTop w:val="0"/>
      <w:marBottom w:val="0"/>
      <w:divBdr>
        <w:top w:val="none" w:sz="0" w:space="0" w:color="auto"/>
        <w:left w:val="none" w:sz="0" w:space="0" w:color="auto"/>
        <w:bottom w:val="none" w:sz="0" w:space="0" w:color="auto"/>
        <w:right w:val="none" w:sz="0" w:space="0" w:color="auto"/>
      </w:divBdr>
    </w:div>
    <w:div w:id="1183787322">
      <w:bodyDiv w:val="1"/>
      <w:marLeft w:val="0"/>
      <w:marRight w:val="0"/>
      <w:marTop w:val="0"/>
      <w:marBottom w:val="0"/>
      <w:divBdr>
        <w:top w:val="none" w:sz="0" w:space="0" w:color="auto"/>
        <w:left w:val="none" w:sz="0" w:space="0" w:color="auto"/>
        <w:bottom w:val="none" w:sz="0" w:space="0" w:color="auto"/>
        <w:right w:val="none" w:sz="0" w:space="0" w:color="auto"/>
      </w:divBdr>
    </w:div>
    <w:div w:id="1267084024">
      <w:bodyDiv w:val="1"/>
      <w:marLeft w:val="0"/>
      <w:marRight w:val="0"/>
      <w:marTop w:val="0"/>
      <w:marBottom w:val="0"/>
      <w:divBdr>
        <w:top w:val="none" w:sz="0" w:space="0" w:color="auto"/>
        <w:left w:val="none" w:sz="0" w:space="0" w:color="auto"/>
        <w:bottom w:val="none" w:sz="0" w:space="0" w:color="auto"/>
        <w:right w:val="none" w:sz="0" w:space="0" w:color="auto"/>
      </w:divBdr>
    </w:div>
    <w:div w:id="1359114239">
      <w:bodyDiv w:val="1"/>
      <w:marLeft w:val="0"/>
      <w:marRight w:val="0"/>
      <w:marTop w:val="0"/>
      <w:marBottom w:val="0"/>
      <w:divBdr>
        <w:top w:val="none" w:sz="0" w:space="0" w:color="auto"/>
        <w:left w:val="none" w:sz="0" w:space="0" w:color="auto"/>
        <w:bottom w:val="none" w:sz="0" w:space="0" w:color="auto"/>
        <w:right w:val="none" w:sz="0" w:space="0" w:color="auto"/>
      </w:divBdr>
    </w:div>
    <w:div w:id="16192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lal.ar@tarimorman.gov.tr"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tagrifood.eu/node/44929" TargetMode="External"/><Relationship Id="rId11" Type="http://schemas.openxmlformats.org/officeDocument/2006/relationships/customXml" Target="../customXml/item2.xml"/><Relationship Id="rId5" Type="http://schemas.openxmlformats.org/officeDocument/2006/relationships/hyperlink" Target="https://www.ictagrifood.eu/node/44929"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5F4D12-E15A-4747-98CD-EDEEB896CBBB}"/>
</file>

<file path=customXml/itemProps2.xml><?xml version="1.0" encoding="utf-8"?>
<ds:datastoreItem xmlns:ds="http://schemas.openxmlformats.org/officeDocument/2006/customXml" ds:itemID="{92BE50B2-FD0D-4950-8B7F-49FA70841DE9}"/>
</file>

<file path=customXml/itemProps3.xml><?xml version="1.0" encoding="utf-8"?>
<ds:datastoreItem xmlns:ds="http://schemas.openxmlformats.org/officeDocument/2006/customXml" ds:itemID="{E3EC0490-17AC-4747-A78E-1BBBE6D5E517}"/>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2783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Tagem</dc:creator>
  <cp:keywords/>
  <dc:description/>
  <cp:lastModifiedBy>Hilal AR</cp:lastModifiedBy>
  <cp:revision>4</cp:revision>
  <dcterms:created xsi:type="dcterms:W3CDTF">2022-05-18T12:00:00Z</dcterms:created>
  <dcterms:modified xsi:type="dcterms:W3CDTF">2022-05-20T12:03:00Z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