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9E" w:rsidRPr="00245923" w:rsidRDefault="008E609E" w:rsidP="00245923">
      <w:pPr>
        <w:spacing w:after="40" w:line="23" w:lineRule="atLeast"/>
        <w:rPr>
          <w:b/>
        </w:rPr>
      </w:pPr>
      <w:proofErr w:type="gramStart"/>
      <w:r w:rsidRPr="00245923">
        <w:t>31/3/2007</w:t>
      </w:r>
      <w:proofErr w:type="gramEnd"/>
      <w:r w:rsidRPr="00245923">
        <w:t xml:space="preserve"> tarihli ve 26479 sayılı Resmî </w:t>
      </w:r>
      <w:proofErr w:type="spellStart"/>
      <w:r w:rsidRPr="00245923">
        <w:t>Gazete’de</w:t>
      </w:r>
      <w:proofErr w:type="spellEnd"/>
      <w:r w:rsidRPr="00245923">
        <w:t xml:space="preserve"> yayımlanmıştır.</w:t>
      </w:r>
    </w:p>
    <w:p w:rsidR="008E609E" w:rsidRPr="00245923" w:rsidRDefault="008E609E" w:rsidP="00245923">
      <w:pPr>
        <w:spacing w:after="40" w:line="23" w:lineRule="atLeast"/>
        <w:jc w:val="center"/>
        <w:rPr>
          <w:b/>
          <w:sz w:val="4"/>
        </w:rPr>
      </w:pPr>
    </w:p>
    <w:p w:rsidR="008E609E" w:rsidRPr="00245923" w:rsidRDefault="008E609E" w:rsidP="00245923">
      <w:pPr>
        <w:pStyle w:val="Balk2"/>
        <w:spacing w:after="40" w:line="23" w:lineRule="atLeast"/>
        <w:jc w:val="center"/>
        <w:rPr>
          <w:b w:val="0"/>
        </w:rPr>
      </w:pPr>
      <w:r w:rsidRPr="00245923">
        <w:t>MUHASEBAT GENEL MÜDÜRLÜĞÜ GENEL TEBLİĞİ</w:t>
      </w:r>
      <w:r w:rsidR="00245923">
        <w:t xml:space="preserve"> </w:t>
      </w:r>
      <w:r w:rsidRPr="00245923">
        <w:t>(SIRA NO:26)</w:t>
      </w:r>
    </w:p>
    <w:p w:rsidR="008E609E" w:rsidRPr="00245923" w:rsidRDefault="008E609E" w:rsidP="00245923">
      <w:pPr>
        <w:pStyle w:val="Balk1"/>
        <w:spacing w:after="40" w:line="23" w:lineRule="atLeast"/>
        <w:rPr>
          <w:b w:val="0"/>
        </w:rPr>
      </w:pPr>
      <w:r w:rsidRPr="00245923">
        <w:rPr>
          <w:bCs/>
        </w:rPr>
        <w:t>TAŞINIR KOD LİSTESİ</w:t>
      </w:r>
      <w:r w:rsidRPr="00245923">
        <w:rPr>
          <w:rStyle w:val="DipnotBavurusu"/>
          <w:bCs/>
        </w:rPr>
        <w:footnoteReference w:id="1"/>
      </w:r>
      <w:r w:rsidRPr="00245923">
        <w:rPr>
          <w:bCs/>
        </w:rPr>
        <w:t xml:space="preserve">  </w:t>
      </w:r>
    </w:p>
    <w:p w:rsidR="008E609E" w:rsidRPr="00245923" w:rsidRDefault="008E609E" w:rsidP="00245923">
      <w:pPr>
        <w:pStyle w:val="Balk2"/>
        <w:spacing w:after="40" w:line="23" w:lineRule="atLeast"/>
      </w:pPr>
      <w:r w:rsidRPr="00245923">
        <w:t xml:space="preserve">  </w:t>
      </w:r>
      <w:r w:rsidRPr="00245923">
        <w:tab/>
        <w:t>1.Giriş</w:t>
      </w:r>
    </w:p>
    <w:p w:rsidR="008E609E" w:rsidRPr="00245923" w:rsidRDefault="008E609E" w:rsidP="00245923">
      <w:pPr>
        <w:spacing w:after="40" w:line="23" w:lineRule="atLeast"/>
        <w:ind w:firstLine="708"/>
        <w:jc w:val="both"/>
      </w:pPr>
      <w:r w:rsidRPr="00245923">
        <w:t xml:space="preserve">(1) Bilindiği üzere </w:t>
      </w:r>
      <w:proofErr w:type="gramStart"/>
      <w:r w:rsidRPr="00245923">
        <w:t>1/1/2006</w:t>
      </w:r>
      <w:proofErr w:type="gramEnd"/>
      <w:r w:rsidRPr="00245923">
        <w:t xml:space="preserve"> tarihinde tüm hükümleriyle birlikte yürürlüğe girmiş olan 5018 sayılı Kamu Malî Yönetimi ve Kontrol Kanununun 44 üncü maddesinde; “Genel yönetim kapsamındaki kamu idarelerince, taşınır ve taşınmaz edinilmesi, yönetilmesi, trampası, elden çıkarılması, </w:t>
      </w:r>
      <w:proofErr w:type="spellStart"/>
      <w:r w:rsidRPr="00245923">
        <w:t>ecrimisilin</w:t>
      </w:r>
      <w:proofErr w:type="spellEnd"/>
      <w:r w:rsidRPr="00245923">
        <w:t xml:space="preserve"> tahsil ve takibinde izlenecek yöntem, Devletin hüküm ve tasarrufu altındaki yerlerin yönetimi ve korunması, </w:t>
      </w:r>
      <w:proofErr w:type="spellStart"/>
      <w:r w:rsidRPr="00245923">
        <w:t>işgalli</w:t>
      </w:r>
      <w:proofErr w:type="spellEnd"/>
      <w:r w:rsidRPr="00245923">
        <w:t xml:space="preserve"> malların tahliyesi gibi hususlar ilgili kanunlarında düzenlenir.</w:t>
      </w:r>
      <w:r w:rsidRPr="00245923">
        <w:rPr>
          <w:b/>
          <w:bCs/>
        </w:rPr>
        <w:t xml:space="preserve"> </w:t>
      </w:r>
      <w:r w:rsidRPr="00245923">
        <w:t xml:space="preserve">Bu malların kaydı ile taşınırların muhafazası, kullanımı, mal yönetim hesabının verilmesi ve mal yönetim sorumlularıyla bunlar adına görev yapacak olanların belirlenmesine ilişkin </w:t>
      </w:r>
      <w:proofErr w:type="spellStart"/>
      <w:r w:rsidRPr="00245923">
        <w:t>usûl</w:t>
      </w:r>
      <w:proofErr w:type="spellEnd"/>
      <w:r w:rsidRPr="00245923">
        <w:t xml:space="preserve"> ve esaslar, Maliye Bakanlığınca hazırlanacak ve Bakanlar Kurulu tarafından çıkarılacak yönetmeliklerle belirlenir.” hükmü yer almaktadır. </w:t>
      </w:r>
    </w:p>
    <w:p w:rsidR="008E609E" w:rsidRPr="00245923" w:rsidRDefault="008E609E" w:rsidP="00245923">
      <w:pPr>
        <w:spacing w:after="40" w:line="23" w:lineRule="atLeast"/>
        <w:ind w:firstLine="708"/>
        <w:jc w:val="both"/>
      </w:pPr>
      <w:r w:rsidRPr="00245923">
        <w:t xml:space="preserve">(2) Bu kapsamda, Kanunun 44 üncü maddesi gereğince kaynağına ve edinme yöntemine bakılmaksızın kamu idarelerine ait taşınır malların kaydı, muhafazası ve kullanımı ile yönetim hesabının verilmesi, merkez ve taşrada taşınır yönetim sorumlularıyla bunlar adına görev yapacak olanların tespiti ve kamu idareleri arasında taşınırların bedelsiz devrine ilişkin esas ve </w:t>
      </w:r>
      <w:proofErr w:type="spellStart"/>
      <w:r w:rsidRPr="00245923">
        <w:t>usûllerin</w:t>
      </w:r>
      <w:proofErr w:type="spellEnd"/>
      <w:r w:rsidRPr="00245923">
        <w:t xml:space="preserve"> belirlenmesi amacıyla Maliye Bakanlığınca hazırlanan ve Bakanlar Kurulunun </w:t>
      </w:r>
      <w:proofErr w:type="gramStart"/>
      <w:r w:rsidRPr="00245923">
        <w:t>28/12/2006</w:t>
      </w:r>
      <w:proofErr w:type="gramEnd"/>
      <w:r w:rsidRPr="00245923">
        <w:t xml:space="preserve"> tarihli ve 2006/11545 sayılı kararıyla kabul edilen Taşınır Mal Yönetmeliği 18/1/2007 tarihli ve 26407 sayılı Resmî Gazetede yayımlanarak yürürlüğe girmiştir.</w:t>
      </w:r>
    </w:p>
    <w:p w:rsidR="008E609E" w:rsidRPr="00245923" w:rsidRDefault="008E609E" w:rsidP="00245923">
      <w:pPr>
        <w:spacing w:after="40" w:line="23" w:lineRule="atLeast"/>
        <w:ind w:firstLine="708"/>
        <w:jc w:val="both"/>
      </w:pPr>
      <w:r w:rsidRPr="00245923">
        <w:t xml:space="preserve">(3) Yönetmeliğin 39 uncu maddesi ile Bakanlık, Yönetmelik ekinde yer alan Taşınır Kod Listesinde değişiklik yapmaya ve Taşınır II </w:t>
      </w:r>
      <w:proofErr w:type="spellStart"/>
      <w:r w:rsidRPr="00245923">
        <w:t>nci</w:t>
      </w:r>
      <w:proofErr w:type="spellEnd"/>
      <w:r w:rsidRPr="00245923">
        <w:t xml:space="preserve"> düzey detay kodundan sonraki detay kodları belirlemeye yetkili kılınmıştır.</w:t>
      </w:r>
    </w:p>
    <w:p w:rsidR="008E609E" w:rsidRPr="00245923" w:rsidRDefault="008E609E" w:rsidP="00245923">
      <w:pPr>
        <w:spacing w:after="40" w:line="23" w:lineRule="atLeast"/>
        <w:ind w:firstLine="708"/>
        <w:jc w:val="both"/>
      </w:pPr>
      <w:r w:rsidRPr="00245923">
        <w:t xml:space="preserve">(4) Bu çerçevede, Yönetmelik kapsamındaki kamu idarelerinin taşınır kayıtlarında uygulayacakları “Taşınır Kod Listesi” oluşturulmuştur. </w:t>
      </w:r>
    </w:p>
    <w:p w:rsidR="008E609E" w:rsidRPr="00245923" w:rsidRDefault="008E609E" w:rsidP="00245923">
      <w:pPr>
        <w:spacing w:after="40" w:line="23" w:lineRule="atLeast"/>
        <w:jc w:val="both"/>
        <w:rPr>
          <w:sz w:val="4"/>
        </w:rPr>
      </w:pPr>
    </w:p>
    <w:p w:rsidR="008E609E" w:rsidRPr="00245923" w:rsidRDefault="008E609E" w:rsidP="00245923">
      <w:pPr>
        <w:pStyle w:val="Balk2"/>
        <w:spacing w:after="40" w:line="23" w:lineRule="atLeast"/>
        <w:ind w:firstLine="708"/>
      </w:pPr>
      <w:r w:rsidRPr="00245923">
        <w:t>2. Tebliğin kapsamı ve amacı</w:t>
      </w:r>
    </w:p>
    <w:p w:rsidR="00245923" w:rsidRPr="00245923" w:rsidRDefault="008E609E" w:rsidP="00245923">
      <w:pPr>
        <w:pStyle w:val="Balk2"/>
        <w:spacing w:after="40" w:line="23" w:lineRule="atLeast"/>
        <w:ind w:firstLine="709"/>
        <w:jc w:val="both"/>
        <w:rPr>
          <w:b w:val="0"/>
          <w:bCs/>
        </w:rPr>
      </w:pPr>
      <w:r w:rsidRPr="00245923">
        <w:rPr>
          <w:b w:val="0"/>
          <w:bCs/>
        </w:rPr>
        <w:t xml:space="preserve">(1) Bu Tebliğ, genel yönetim kapsamındaki kamu idarelerinin taşınırlarını kayıt altına alırken uygulayacakları taşınır kod listesi ile kurumsal ihtiyaçlara göre yapabilecekleri sınıflandırmaya ilişkin </w:t>
      </w:r>
      <w:proofErr w:type="spellStart"/>
      <w:r w:rsidRPr="00245923">
        <w:rPr>
          <w:b w:val="0"/>
          <w:bCs/>
        </w:rPr>
        <w:t>usûl</w:t>
      </w:r>
      <w:proofErr w:type="spellEnd"/>
      <w:r w:rsidRPr="00245923">
        <w:rPr>
          <w:b w:val="0"/>
          <w:bCs/>
        </w:rPr>
        <w:t xml:space="preserve"> ve esasları belirlemektedir. </w:t>
      </w:r>
    </w:p>
    <w:p w:rsidR="00245923" w:rsidRPr="009B44F7" w:rsidRDefault="00245923" w:rsidP="00245923">
      <w:pPr>
        <w:pStyle w:val="Balk2"/>
        <w:spacing w:after="40" w:line="23" w:lineRule="atLeast"/>
        <w:ind w:firstLine="709"/>
        <w:jc w:val="both"/>
        <w:rPr>
          <w:b w:val="0"/>
          <w:bCs/>
          <w:sz w:val="6"/>
        </w:rPr>
      </w:pPr>
    </w:p>
    <w:p w:rsidR="008E609E" w:rsidRPr="00245923" w:rsidRDefault="008E609E" w:rsidP="00245923">
      <w:pPr>
        <w:pStyle w:val="Balk2"/>
        <w:spacing w:after="40" w:line="23" w:lineRule="atLeast"/>
        <w:ind w:firstLine="709"/>
        <w:jc w:val="both"/>
      </w:pPr>
      <w:r w:rsidRPr="00245923">
        <w:t>3. Taşınır kod listesi sınıflandırması ve listenin uygulanması</w:t>
      </w:r>
    </w:p>
    <w:p w:rsidR="008E609E" w:rsidRPr="00245923" w:rsidRDefault="008E609E" w:rsidP="00245923">
      <w:pPr>
        <w:pStyle w:val="GvdeMetni"/>
        <w:numPr>
          <w:ilvl w:val="0"/>
          <w:numId w:val="2"/>
        </w:numPr>
        <w:spacing w:after="40" w:line="23" w:lineRule="atLeast"/>
      </w:pPr>
      <w:r w:rsidRPr="00245923">
        <w:t>Taşınır Kod Listesi aşağıda gösterildiği gibi sınıflandırılmıştır.</w:t>
      </w:r>
    </w:p>
    <w:p w:rsidR="008E609E" w:rsidRPr="00245923" w:rsidRDefault="008E609E" w:rsidP="00245923">
      <w:pPr>
        <w:pStyle w:val="GvdeMetni"/>
        <w:spacing w:after="40" w:line="23" w:lineRule="atLeast"/>
        <w:ind w:firstLine="708"/>
      </w:pPr>
      <w:r w:rsidRPr="00245923">
        <w:t>XXX</w:t>
      </w:r>
      <w:r w:rsidRPr="00245923">
        <w:tab/>
      </w:r>
      <w:r w:rsidRPr="00245923">
        <w:tab/>
      </w:r>
      <w:r w:rsidRPr="00245923">
        <w:tab/>
      </w:r>
      <w:r w:rsidRPr="00245923">
        <w:tab/>
      </w:r>
      <w:r w:rsidRPr="00245923">
        <w:tab/>
        <w:t>Taşınır Hesap Kodu</w:t>
      </w:r>
    </w:p>
    <w:p w:rsidR="008E609E" w:rsidRPr="00245923" w:rsidRDefault="008E609E" w:rsidP="00245923">
      <w:pPr>
        <w:pStyle w:val="GvdeMetni"/>
        <w:spacing w:after="40" w:line="23" w:lineRule="atLeast"/>
        <w:ind w:firstLine="708"/>
      </w:pPr>
      <w:proofErr w:type="gramStart"/>
      <w:r w:rsidRPr="00245923">
        <w:t>XXX  XX</w:t>
      </w:r>
      <w:proofErr w:type="gramEnd"/>
      <w:r w:rsidRPr="00245923">
        <w:tab/>
      </w:r>
      <w:r w:rsidRPr="00245923">
        <w:tab/>
      </w:r>
      <w:r w:rsidRPr="00245923">
        <w:tab/>
      </w:r>
      <w:r w:rsidRPr="00245923">
        <w:tab/>
        <w:t>Taşınır  I inci Düzey Detay Kodu</w:t>
      </w:r>
    </w:p>
    <w:p w:rsidR="008E609E" w:rsidRPr="00245923" w:rsidRDefault="008E609E" w:rsidP="00245923">
      <w:pPr>
        <w:pStyle w:val="GvdeMetni"/>
        <w:spacing w:after="40" w:line="23" w:lineRule="atLeast"/>
        <w:ind w:firstLine="708"/>
      </w:pPr>
      <w:proofErr w:type="gramStart"/>
      <w:r w:rsidRPr="00245923">
        <w:t>XXX  XX</w:t>
      </w:r>
      <w:proofErr w:type="gramEnd"/>
      <w:r w:rsidRPr="00245923">
        <w:t xml:space="preserve">  </w:t>
      </w:r>
      <w:proofErr w:type="spellStart"/>
      <w:r w:rsidRPr="00245923">
        <w:t>XX</w:t>
      </w:r>
      <w:proofErr w:type="spellEnd"/>
      <w:r w:rsidRPr="00245923">
        <w:tab/>
      </w:r>
      <w:r w:rsidRPr="00245923">
        <w:tab/>
      </w:r>
      <w:r w:rsidRPr="00245923">
        <w:tab/>
        <w:t xml:space="preserve">Taşınır  II </w:t>
      </w:r>
      <w:proofErr w:type="spellStart"/>
      <w:r w:rsidRPr="00245923">
        <w:t>nci</w:t>
      </w:r>
      <w:proofErr w:type="spellEnd"/>
      <w:r w:rsidRPr="00245923">
        <w:t xml:space="preserve"> Düzey Detay Kodu</w:t>
      </w:r>
    </w:p>
    <w:p w:rsidR="008E609E" w:rsidRPr="00245923" w:rsidRDefault="008E609E" w:rsidP="00245923">
      <w:pPr>
        <w:pStyle w:val="GvdeMetni"/>
        <w:spacing w:after="40" w:line="23" w:lineRule="atLeast"/>
        <w:ind w:firstLine="708"/>
      </w:pPr>
      <w:proofErr w:type="gramStart"/>
      <w:r w:rsidRPr="00245923">
        <w:t>XXX  XX</w:t>
      </w:r>
      <w:proofErr w:type="gramEnd"/>
      <w:r w:rsidRPr="00245923">
        <w:t xml:space="preserve">  </w:t>
      </w:r>
      <w:proofErr w:type="spellStart"/>
      <w:r w:rsidRPr="00245923">
        <w:t>XX</w:t>
      </w:r>
      <w:proofErr w:type="spellEnd"/>
      <w:r w:rsidRPr="00245923">
        <w:t xml:space="preserve">  </w:t>
      </w:r>
      <w:proofErr w:type="spellStart"/>
      <w:r w:rsidRPr="00245923">
        <w:t>XX</w:t>
      </w:r>
      <w:proofErr w:type="spellEnd"/>
      <w:r w:rsidRPr="00245923">
        <w:tab/>
      </w:r>
      <w:r w:rsidRPr="00245923">
        <w:tab/>
      </w:r>
      <w:r w:rsidRPr="00245923">
        <w:tab/>
        <w:t>Taşınır  III üncü Düzey Detay Kodu</w:t>
      </w:r>
    </w:p>
    <w:p w:rsidR="008E609E" w:rsidRPr="00245923" w:rsidRDefault="008E609E" w:rsidP="00245923">
      <w:pPr>
        <w:pStyle w:val="GvdeMetni"/>
        <w:spacing w:after="40" w:line="23" w:lineRule="atLeast"/>
        <w:ind w:firstLine="708"/>
      </w:pPr>
      <w:proofErr w:type="gramStart"/>
      <w:r w:rsidRPr="00245923">
        <w:t>XXX  XX</w:t>
      </w:r>
      <w:proofErr w:type="gramEnd"/>
      <w:r w:rsidRPr="00245923">
        <w:t xml:space="preserve">  </w:t>
      </w:r>
      <w:proofErr w:type="spellStart"/>
      <w:r w:rsidRPr="00245923">
        <w:t>XX</w:t>
      </w:r>
      <w:proofErr w:type="spellEnd"/>
      <w:r w:rsidRPr="00245923">
        <w:t xml:space="preserve">  </w:t>
      </w:r>
      <w:proofErr w:type="spellStart"/>
      <w:r w:rsidRPr="00245923">
        <w:t>XX</w:t>
      </w:r>
      <w:proofErr w:type="spellEnd"/>
      <w:r w:rsidRPr="00245923">
        <w:t xml:space="preserve">  </w:t>
      </w:r>
      <w:proofErr w:type="spellStart"/>
      <w:r w:rsidRPr="00245923">
        <w:t>XX</w:t>
      </w:r>
      <w:proofErr w:type="spellEnd"/>
      <w:r w:rsidRPr="00245923">
        <w:tab/>
      </w:r>
      <w:r w:rsidRPr="00245923">
        <w:tab/>
        <w:t>Taşınır  IV üncü Düzey Detay Kodu</w:t>
      </w:r>
    </w:p>
    <w:p w:rsidR="008E609E" w:rsidRPr="00245923" w:rsidRDefault="008E609E" w:rsidP="00245923">
      <w:pPr>
        <w:pStyle w:val="GvdeMetni"/>
        <w:spacing w:after="40" w:line="23" w:lineRule="atLeast"/>
        <w:ind w:firstLine="708"/>
      </w:pPr>
      <w:proofErr w:type="gramStart"/>
      <w:r w:rsidRPr="00245923">
        <w:t>XXX  XX</w:t>
      </w:r>
      <w:proofErr w:type="gramEnd"/>
      <w:r w:rsidRPr="00245923">
        <w:t xml:space="preserve">  </w:t>
      </w:r>
      <w:proofErr w:type="spellStart"/>
      <w:r w:rsidRPr="00245923">
        <w:t>XX</w:t>
      </w:r>
      <w:proofErr w:type="spellEnd"/>
      <w:r w:rsidRPr="00245923">
        <w:t xml:space="preserve">  </w:t>
      </w:r>
      <w:proofErr w:type="spellStart"/>
      <w:r w:rsidRPr="00245923">
        <w:t>XX</w:t>
      </w:r>
      <w:proofErr w:type="spellEnd"/>
      <w:r w:rsidRPr="00245923">
        <w:t xml:space="preserve">  </w:t>
      </w:r>
      <w:proofErr w:type="spellStart"/>
      <w:r w:rsidRPr="00245923">
        <w:t>XX</w:t>
      </w:r>
      <w:proofErr w:type="spellEnd"/>
      <w:r w:rsidRPr="00245923">
        <w:t xml:space="preserve">  </w:t>
      </w:r>
      <w:proofErr w:type="spellStart"/>
      <w:r w:rsidRPr="00245923">
        <w:t>XX</w:t>
      </w:r>
      <w:proofErr w:type="spellEnd"/>
      <w:r w:rsidRPr="00245923">
        <w:tab/>
        <w:t>Taşınır  V inci Düzey Detay Kodu</w:t>
      </w:r>
    </w:p>
    <w:p w:rsidR="008E609E" w:rsidRPr="00245923" w:rsidRDefault="008E609E" w:rsidP="00245923">
      <w:pPr>
        <w:pStyle w:val="GvdeMetni"/>
        <w:spacing w:after="40" w:line="23" w:lineRule="atLeast"/>
        <w:ind w:firstLine="708"/>
      </w:pPr>
    </w:p>
    <w:p w:rsidR="008E609E" w:rsidRPr="00245923" w:rsidRDefault="008E609E" w:rsidP="00245923">
      <w:pPr>
        <w:spacing w:after="40" w:line="23" w:lineRule="atLeast"/>
        <w:ind w:firstLine="720"/>
        <w:jc w:val="both"/>
      </w:pPr>
      <w:r w:rsidRPr="00245923">
        <w:t xml:space="preserve">(2) Taşınır Kodu: Taşınırın kayıtlarda detaylı izlendiği, taşınır hesap kodu ile taşınır I ve II </w:t>
      </w:r>
      <w:proofErr w:type="spellStart"/>
      <w:r w:rsidRPr="00245923">
        <w:t>nci</w:t>
      </w:r>
      <w:proofErr w:type="spellEnd"/>
      <w:r w:rsidRPr="00245923">
        <w:t xml:space="preserve"> düzey detay kodu ve sonraki düzey detay kodlarının birleşiminden oluşan kodu ifade eder.</w:t>
      </w:r>
    </w:p>
    <w:p w:rsidR="008E609E" w:rsidRPr="00245923" w:rsidRDefault="008E609E" w:rsidP="00245923">
      <w:pPr>
        <w:spacing w:after="40" w:line="23" w:lineRule="atLeast"/>
        <w:ind w:firstLine="720"/>
        <w:jc w:val="both"/>
      </w:pPr>
      <w:r w:rsidRPr="00245923">
        <w:t xml:space="preserve">(3) Taşınır Hesap Kodu: 3/5/2005 tarihli ve 2005/8844 sayılı Bakanlar Kurulu Kararı </w:t>
      </w:r>
      <w:proofErr w:type="gramStart"/>
      <w:r w:rsidRPr="00245923">
        <w:t>ile  yürürlüğe</w:t>
      </w:r>
      <w:proofErr w:type="gramEnd"/>
      <w:r w:rsidRPr="00245923">
        <w:t xml:space="preserve"> konulan Genel Yönetim Muhasebe Yönetmeliği çerçeve hesap planında yer alan ve taşınırın kaydedildiği ilgili hesap kodunu ifade eder.</w:t>
      </w:r>
    </w:p>
    <w:p w:rsidR="008E609E" w:rsidRPr="00245923" w:rsidRDefault="008E609E" w:rsidP="00245923">
      <w:pPr>
        <w:pStyle w:val="GvdeMetniGirintisi"/>
        <w:spacing w:after="40" w:line="23" w:lineRule="atLeast"/>
      </w:pPr>
      <w:r w:rsidRPr="00245923">
        <w:t xml:space="preserve">(4) </w:t>
      </w:r>
      <w:proofErr w:type="gramStart"/>
      <w:r w:rsidRPr="00245923">
        <w:t>Taşınır  I</w:t>
      </w:r>
      <w:proofErr w:type="gramEnd"/>
      <w:r w:rsidRPr="00245923">
        <w:t xml:space="preserve"> inci Düzey Detay Kodu: Taşınır Kod Listesinde gösterilen taşınır hesap kodundan sonra gelen iki haneli detay kodunu ifade eder.</w:t>
      </w:r>
    </w:p>
    <w:p w:rsidR="008E609E" w:rsidRPr="00245923" w:rsidRDefault="008E609E" w:rsidP="00245923">
      <w:pPr>
        <w:spacing w:after="40" w:line="23" w:lineRule="atLeast"/>
        <w:ind w:firstLine="720"/>
        <w:jc w:val="both"/>
      </w:pPr>
      <w:r w:rsidRPr="00245923">
        <w:lastRenderedPageBreak/>
        <w:t xml:space="preserve">(5) </w:t>
      </w:r>
      <w:proofErr w:type="gramStart"/>
      <w:r w:rsidRPr="00245923">
        <w:t>Taşınır  II</w:t>
      </w:r>
      <w:proofErr w:type="gramEnd"/>
      <w:r w:rsidRPr="00245923">
        <w:t xml:space="preserve"> </w:t>
      </w:r>
      <w:proofErr w:type="spellStart"/>
      <w:r w:rsidRPr="00245923">
        <w:t>nci</w:t>
      </w:r>
      <w:proofErr w:type="spellEnd"/>
      <w:r w:rsidRPr="00245923">
        <w:t xml:space="preserve"> Düzey Detay Kodu: Taşınır Kod Listesinde gösterilen taşınır I inci düzey detay kodundan sonra gelen iki haneli detay kodunu ifade eder.</w:t>
      </w:r>
    </w:p>
    <w:p w:rsidR="008E609E" w:rsidRPr="00245923" w:rsidRDefault="008E609E" w:rsidP="00245923">
      <w:pPr>
        <w:spacing w:after="40" w:line="23" w:lineRule="atLeast"/>
        <w:ind w:firstLine="720"/>
        <w:jc w:val="both"/>
      </w:pPr>
      <w:r w:rsidRPr="00245923">
        <w:t xml:space="preserve">(6) </w:t>
      </w:r>
      <w:proofErr w:type="gramStart"/>
      <w:r w:rsidRPr="00245923">
        <w:t>Taşınır  III</w:t>
      </w:r>
      <w:proofErr w:type="gramEnd"/>
      <w:r w:rsidRPr="00245923">
        <w:t xml:space="preserve"> üncü Düzey Detay Kodu: Taşınır Kod Listesinde gösterilen taşınır II </w:t>
      </w:r>
      <w:proofErr w:type="spellStart"/>
      <w:r w:rsidRPr="00245923">
        <w:t>nci</w:t>
      </w:r>
      <w:proofErr w:type="spellEnd"/>
      <w:r w:rsidRPr="00245923">
        <w:t xml:space="preserve"> düzey detay kodundan sonra gelen iki haneli detay kodunu ifade eder.</w:t>
      </w:r>
    </w:p>
    <w:p w:rsidR="008E609E" w:rsidRPr="00245923" w:rsidRDefault="008E609E" w:rsidP="00245923">
      <w:pPr>
        <w:spacing w:after="40" w:line="23" w:lineRule="atLeast"/>
        <w:ind w:firstLine="720"/>
        <w:jc w:val="both"/>
      </w:pPr>
      <w:r w:rsidRPr="00245923">
        <w:t xml:space="preserve">(7) </w:t>
      </w:r>
      <w:proofErr w:type="gramStart"/>
      <w:r w:rsidRPr="00245923">
        <w:t>Taşınır  IV</w:t>
      </w:r>
      <w:proofErr w:type="gramEnd"/>
      <w:r w:rsidRPr="00245923">
        <w:t xml:space="preserve"> üncü Düzey Detay Kodu: Taşınır Kod Listesinde gösterilen taşınır III üncü düzey detay kodundan sonra gelen iki haneli detay kodunu ifade eder.</w:t>
      </w:r>
    </w:p>
    <w:p w:rsidR="008E609E" w:rsidRPr="00245923" w:rsidRDefault="008E609E" w:rsidP="00245923">
      <w:pPr>
        <w:spacing w:after="40" w:line="23" w:lineRule="atLeast"/>
        <w:ind w:firstLine="720"/>
        <w:jc w:val="both"/>
      </w:pPr>
      <w:r w:rsidRPr="00245923">
        <w:t xml:space="preserve">(8) </w:t>
      </w:r>
      <w:proofErr w:type="gramStart"/>
      <w:r w:rsidRPr="00245923">
        <w:t>Taşınır  V</w:t>
      </w:r>
      <w:proofErr w:type="gramEnd"/>
      <w:r w:rsidRPr="00245923">
        <w:t xml:space="preserve"> inci Düzey Detay Kodu: Taşınır Kod Listesinde gösterilen taşınır IV üncü düzey detay kodundan sonra gelen iki haneli detay kodunu ifade eder.</w:t>
      </w:r>
    </w:p>
    <w:p w:rsidR="008E609E" w:rsidRPr="00245923" w:rsidRDefault="008E609E" w:rsidP="00245923">
      <w:pPr>
        <w:spacing w:after="40" w:line="23" w:lineRule="atLeast"/>
        <w:ind w:firstLine="720"/>
        <w:jc w:val="both"/>
      </w:pPr>
      <w:r w:rsidRPr="00245923">
        <w:t xml:space="preserve">(9) Kapsamdaki kamu idareleri, mülkiyetlerinde bulundurdukları taşınırları, Taşınır Kod Listesinde yapılan sınıflandırmalarda belirtilen düzeylerin altına düzey açmak suretiyle istedikleri ayrıntı düzeyinde takip edebileceklerdir. Söz konusu listenin 150.13.03 Taşıtlar Grubu Yedek Parçalarında belirtilen taşınırların </w:t>
      </w:r>
      <w:proofErr w:type="spellStart"/>
      <w:proofErr w:type="gramStart"/>
      <w:r w:rsidRPr="00245923">
        <w:t>II.Düzeyden</w:t>
      </w:r>
      <w:proofErr w:type="spellEnd"/>
      <w:proofErr w:type="gramEnd"/>
      <w:r w:rsidRPr="00245923">
        <w:t xml:space="preserve"> sonraki sınıflandırmalarının, kapsamdaki kurumlar tarafından, bu taşınırların çeşitliliği ve taşınır hareketliliğindeki yoğunluk nedeniyle uygulanamaması halinde Maliye Bakanlığından uygun görüş alınmak koşuluyla, </w:t>
      </w:r>
      <w:proofErr w:type="spellStart"/>
      <w:r w:rsidRPr="00245923">
        <w:t>II.Düzeyde</w:t>
      </w:r>
      <w:proofErr w:type="spellEnd"/>
      <w:r w:rsidRPr="00245923">
        <w:t xml:space="preserve"> belirlenen başlıkların altında kurumlarca yapılmış olan sınıflandırmalar kullanılabilir.</w:t>
      </w:r>
    </w:p>
    <w:p w:rsidR="008E609E" w:rsidRPr="00245923" w:rsidRDefault="008E609E" w:rsidP="00245923">
      <w:pPr>
        <w:spacing w:after="40" w:line="23" w:lineRule="atLeast"/>
        <w:ind w:firstLine="720"/>
        <w:jc w:val="both"/>
        <w:rPr>
          <w:sz w:val="2"/>
        </w:rPr>
      </w:pPr>
    </w:p>
    <w:p w:rsidR="008E609E" w:rsidRPr="00245923" w:rsidRDefault="008E609E" w:rsidP="00245923">
      <w:pPr>
        <w:tabs>
          <w:tab w:val="left" w:pos="567"/>
        </w:tabs>
        <w:spacing w:after="40" w:line="23" w:lineRule="atLeast"/>
        <w:jc w:val="both"/>
        <w:rPr>
          <w:b/>
          <w:bCs/>
          <w:u w:val="single"/>
        </w:rPr>
      </w:pPr>
      <w:r w:rsidRPr="00245923">
        <w:tab/>
      </w:r>
      <w:r w:rsidRPr="00245923">
        <w:tab/>
      </w:r>
      <w:r w:rsidRPr="00245923">
        <w:rPr>
          <w:b/>
          <w:bCs/>
        </w:rPr>
        <w:t>4. Kurumsal ihtiyaca göre açılabilecek kodlar ve taşınır kod listesinin güncellenmesi</w:t>
      </w:r>
    </w:p>
    <w:p w:rsidR="008E609E" w:rsidRPr="00245923" w:rsidRDefault="008E609E" w:rsidP="00245923">
      <w:pPr>
        <w:spacing w:after="40" w:line="23" w:lineRule="atLeast"/>
        <w:ind w:firstLine="708"/>
        <w:jc w:val="both"/>
      </w:pPr>
      <w:r w:rsidRPr="00245923">
        <w:t xml:space="preserve">(1) Yönetmeliğin 37 </w:t>
      </w:r>
      <w:proofErr w:type="spellStart"/>
      <w:r w:rsidRPr="00245923">
        <w:t>nci</w:t>
      </w:r>
      <w:proofErr w:type="spellEnd"/>
      <w:r w:rsidRPr="00245923">
        <w:t xml:space="preserve"> maddesiyle, taşınırın Bakanlıkça belirlenen düzey detay kodundan sonraki detay kodlarının, kamu idarelerince ihtiyaçları doğrultusunda belirlenebilmesine </w:t>
      </w:r>
      <w:proofErr w:type="gramStart"/>
      <w:r w:rsidRPr="00245923">
        <w:t>imkan</w:t>
      </w:r>
      <w:proofErr w:type="gramEnd"/>
      <w:r w:rsidRPr="00245923">
        <w:t xml:space="preserve"> tanınmıştır. Kamu idareleri bu belirlemeyi yaparken Taşınır Kod Listesi Genel Tebliği ile belirlenen sınıflandırmayı esas alacaklardır. Ayrıca, kamu idareleri ihtiyaçları doğrultusunda Taşınır Kod Listesi Genel Tebliği ile belirlenen düzeyleri esas almak suretiyle oluşturdukları alt düzeyleri, söz konusu Tebliğin geliştirilmesi ve kapsamdaki tüm kamu idareleri için uygulanabilecek standart bir kod listesinin oluşturulmasını sağlamak amacıyla Bakanlığa bildireceklerdir.</w:t>
      </w:r>
    </w:p>
    <w:p w:rsidR="008E609E" w:rsidRPr="00245923" w:rsidRDefault="008E609E" w:rsidP="00245923">
      <w:pPr>
        <w:spacing w:after="40" w:line="23" w:lineRule="atLeast"/>
        <w:ind w:firstLine="720"/>
        <w:jc w:val="both"/>
      </w:pPr>
      <w:r w:rsidRPr="00245923">
        <w:t>(2) Kamu idarelerinin kod listesinde belirlenen düzeyde değişiklik yapmaya veya söz konusu düzeyde ek yapmaya ihtiyaç duymaları halinde, değişiklik veya ek yapılması istenilen düzeyler kamu idareleri tarafından Bakanlığımıza bildirilecek ve Bakanlık tarafından uygun bulunması halinde Taşınır Kod Listesinde yeni kodlar açılabilecektir.</w:t>
      </w:r>
    </w:p>
    <w:p w:rsidR="008E609E" w:rsidRPr="00245923" w:rsidRDefault="008E609E" w:rsidP="00245923">
      <w:pPr>
        <w:spacing w:after="40" w:line="23" w:lineRule="atLeast"/>
        <w:ind w:firstLine="720"/>
        <w:jc w:val="both"/>
      </w:pPr>
      <w:r w:rsidRPr="00245923">
        <w:t xml:space="preserve">(3) Yıl içerisinde Bakanlıkça Taşınır Kod Listesinde yapılacak değişiklikler </w:t>
      </w:r>
      <w:hyperlink r:id="rId9" w:history="1">
        <w:r w:rsidRPr="00245923">
          <w:rPr>
            <w:rStyle w:val="Kpr"/>
          </w:rPr>
          <w:t>www.muhasebat.gov.tr</w:t>
        </w:r>
      </w:hyperlink>
      <w:r w:rsidRPr="00245923">
        <w:t xml:space="preserve"> web sitesinde bulunan kod listesine ilave edilerek kamu idarelerine duyurulacak, ayrıca Taşınır Kod Listesinde yapılan değişiklik ve ekler, Bakanlıkça uygun görülen dönemler itibariyle Tebliğ olarak yayımlanmak suretiyle kurumlara bildirilecektir.</w:t>
      </w:r>
    </w:p>
    <w:p w:rsidR="008E609E" w:rsidRPr="009B44F7" w:rsidRDefault="008E609E" w:rsidP="00245923">
      <w:pPr>
        <w:spacing w:after="40" w:line="23" w:lineRule="atLeast"/>
        <w:ind w:firstLine="720"/>
        <w:jc w:val="both"/>
        <w:rPr>
          <w:sz w:val="8"/>
        </w:rPr>
      </w:pPr>
    </w:p>
    <w:p w:rsidR="008E609E" w:rsidRPr="00245923" w:rsidRDefault="008E609E" w:rsidP="00245923">
      <w:pPr>
        <w:spacing w:after="40" w:line="23" w:lineRule="atLeast"/>
        <w:ind w:firstLine="720"/>
        <w:jc w:val="both"/>
        <w:rPr>
          <w:b/>
          <w:bCs/>
        </w:rPr>
      </w:pPr>
      <w:r w:rsidRPr="00245923">
        <w:rPr>
          <w:b/>
          <w:bCs/>
        </w:rPr>
        <w:t>5. Detaylı hesap planı ile taşınır kod listesi arasında uyumun sağlanması</w:t>
      </w:r>
    </w:p>
    <w:p w:rsidR="008E609E" w:rsidRPr="00245923" w:rsidRDefault="008E609E" w:rsidP="00245923">
      <w:pPr>
        <w:spacing w:after="40" w:line="23" w:lineRule="atLeast"/>
        <w:ind w:firstLine="720"/>
        <w:jc w:val="both"/>
      </w:pPr>
      <w:r w:rsidRPr="00245923">
        <w:t>(1) Kapsamdaki kamu idarelerinin muhasebe detaylı hesap planlarının, Tebliğ eki Taşınır Kod Listesinin II inci düzeyi ile uyumu sağlanacaktır.</w:t>
      </w:r>
    </w:p>
    <w:p w:rsidR="008E609E" w:rsidRPr="00245923" w:rsidRDefault="008E609E" w:rsidP="00245923">
      <w:pPr>
        <w:spacing w:after="40" w:line="23" w:lineRule="atLeast"/>
        <w:ind w:firstLine="720"/>
        <w:jc w:val="both"/>
      </w:pPr>
      <w:proofErr w:type="gramStart"/>
      <w:r w:rsidRPr="00245923">
        <w:t xml:space="preserve">(2) Detaylı Hesap Planı değişikliğinin yıl ortasında gerçekleşiyor olması ve mevcut kodlarla aynı kodları taşıyan yeni kodların aynı anda kullanılamaması nedenleriyle, eski kodların yeni kodlara dönüşümü sağlandıktan sonra sadece 2007 yılı için geçerli olmak ve hesap kodundan sonra gelmek üzere yeni bir düzey (20) açılmak suretiyle yeni kodlar üzerinde farklılık sağlanacaktır. </w:t>
      </w:r>
      <w:proofErr w:type="gramEnd"/>
      <w:r w:rsidRPr="00245923">
        <w:t xml:space="preserve">Muhasebe yetkilileri, detaylı hesap planında yer alan eski kodların yeni kodlara uyarlandığı dönüşüm tablosunu ve hesap kodundan sonra gelmek üzere açılan yeni düzeyi dikkate almak suretiyle taşınır kayıtlarını muhasebeleştireceklerdir. </w:t>
      </w:r>
    </w:p>
    <w:p w:rsidR="008E609E" w:rsidRPr="00245923" w:rsidRDefault="008E609E" w:rsidP="00245923">
      <w:pPr>
        <w:spacing w:after="40" w:line="23" w:lineRule="atLeast"/>
        <w:ind w:firstLine="720"/>
        <w:jc w:val="both"/>
      </w:pPr>
      <w:r w:rsidRPr="00245923">
        <w:t>(3) Taşınır Kod Listesi Tebliğinde belirlenen kodlar esas alınarak düzenlenen Taşınır İşlem Fişleri, muhasebe birimlerine intikal ettiğinde muhasebe yetkilileri detaylı hesap planında yer alan yeni kodlara gerekli kayıtların yapılmasını sağlayacaklardır.</w:t>
      </w:r>
    </w:p>
    <w:p w:rsidR="008E609E" w:rsidRPr="00245923" w:rsidRDefault="008E609E" w:rsidP="00245923">
      <w:pPr>
        <w:pStyle w:val="Balk2"/>
        <w:spacing w:after="40" w:line="23" w:lineRule="atLeast"/>
        <w:ind w:left="720"/>
      </w:pPr>
      <w:r w:rsidRPr="00245923">
        <w:t>6. Yürürlük</w:t>
      </w:r>
    </w:p>
    <w:p w:rsidR="008E609E" w:rsidRPr="00245923" w:rsidRDefault="008E609E" w:rsidP="00245923">
      <w:pPr>
        <w:pStyle w:val="Balk2"/>
        <w:numPr>
          <w:ilvl w:val="0"/>
          <w:numId w:val="1"/>
        </w:numPr>
        <w:spacing w:after="40" w:line="23" w:lineRule="atLeast"/>
        <w:rPr>
          <w:b w:val="0"/>
          <w:bCs/>
        </w:rPr>
      </w:pPr>
      <w:r w:rsidRPr="00245923">
        <w:rPr>
          <w:b w:val="0"/>
          <w:bCs/>
        </w:rPr>
        <w:t>Bu Tebliğ yayımı tarihinde yürürlüğe girer.</w:t>
      </w:r>
    </w:p>
    <w:p w:rsidR="008E609E" w:rsidRPr="00245923" w:rsidRDefault="008E609E" w:rsidP="00245923">
      <w:pPr>
        <w:pStyle w:val="Balk2"/>
        <w:spacing w:after="40" w:line="23" w:lineRule="atLeast"/>
        <w:ind w:left="720"/>
      </w:pPr>
      <w:r w:rsidRPr="00245923">
        <w:rPr>
          <w:b w:val="0"/>
          <w:bCs/>
        </w:rPr>
        <w:t>(2) Tebliğ olunur.</w:t>
      </w:r>
      <w:r w:rsidRPr="00245923">
        <w:tab/>
      </w:r>
      <w:r w:rsidRPr="00245923">
        <w:tab/>
      </w:r>
      <w:r w:rsidRPr="00245923">
        <w:tab/>
      </w:r>
      <w:r w:rsidRPr="00245923">
        <w:tab/>
      </w:r>
      <w:r w:rsidRPr="00245923">
        <w:tab/>
      </w:r>
    </w:p>
    <w:p w:rsidR="008E609E" w:rsidRPr="009B44F7" w:rsidRDefault="008E609E" w:rsidP="00245923">
      <w:pPr>
        <w:spacing w:after="40" w:line="23" w:lineRule="atLeast"/>
        <w:ind w:firstLine="708"/>
        <w:rPr>
          <w:sz w:val="16"/>
        </w:rPr>
      </w:pPr>
      <w:bookmarkStart w:id="0" w:name="_GoBack"/>
      <w:r w:rsidRPr="009B44F7">
        <w:rPr>
          <w:sz w:val="16"/>
        </w:rPr>
        <w:tab/>
      </w:r>
      <w:r w:rsidRPr="009B44F7">
        <w:rPr>
          <w:sz w:val="16"/>
        </w:rPr>
        <w:tab/>
      </w:r>
      <w:r w:rsidRPr="009B44F7">
        <w:rPr>
          <w:sz w:val="16"/>
        </w:rPr>
        <w:tab/>
      </w:r>
      <w:r w:rsidRPr="009B44F7">
        <w:rPr>
          <w:sz w:val="16"/>
        </w:rPr>
        <w:tab/>
      </w:r>
      <w:r w:rsidRPr="009B44F7">
        <w:rPr>
          <w:sz w:val="16"/>
        </w:rPr>
        <w:tab/>
      </w:r>
      <w:r w:rsidRPr="009B44F7">
        <w:rPr>
          <w:sz w:val="16"/>
        </w:rPr>
        <w:tab/>
      </w:r>
      <w:r w:rsidRPr="009B44F7">
        <w:rPr>
          <w:sz w:val="16"/>
        </w:rPr>
        <w:tab/>
      </w:r>
      <w:r w:rsidRPr="009B44F7">
        <w:rPr>
          <w:sz w:val="16"/>
        </w:rPr>
        <w:tab/>
      </w:r>
      <w:r w:rsidRPr="009B44F7">
        <w:rPr>
          <w:sz w:val="16"/>
        </w:rPr>
        <w:tab/>
      </w:r>
    </w:p>
    <w:bookmarkEnd w:id="0"/>
    <w:p w:rsidR="008E609E" w:rsidRPr="00245923" w:rsidRDefault="008E609E" w:rsidP="00245923">
      <w:pPr>
        <w:spacing w:after="40" w:line="23" w:lineRule="atLeast"/>
      </w:pPr>
      <w:r w:rsidRPr="00245923">
        <w:t xml:space="preserve"> </w:t>
      </w:r>
      <w:r w:rsidRPr="00245923">
        <w:tab/>
        <w:t>EK:</w:t>
      </w:r>
    </w:p>
    <w:p w:rsidR="006F640C" w:rsidRPr="00245923" w:rsidRDefault="008E609E" w:rsidP="00245923">
      <w:pPr>
        <w:spacing w:after="40" w:line="23" w:lineRule="atLeast"/>
        <w:ind w:firstLine="708"/>
      </w:pPr>
      <w:r w:rsidRPr="00245923">
        <w:t xml:space="preserve">Taşınır Kod Listesi </w:t>
      </w:r>
    </w:p>
    <w:sectPr w:rsidR="006F640C" w:rsidRPr="00245923" w:rsidSect="002579EC">
      <w:pgSz w:w="11906" w:h="16838"/>
      <w:pgMar w:top="1135"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5F" w:rsidRDefault="005E265F" w:rsidP="008E609E">
      <w:r>
        <w:separator/>
      </w:r>
    </w:p>
  </w:endnote>
  <w:endnote w:type="continuationSeparator" w:id="0">
    <w:p w:rsidR="005E265F" w:rsidRDefault="005E265F" w:rsidP="008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5F" w:rsidRDefault="005E265F" w:rsidP="008E609E">
      <w:r>
        <w:separator/>
      </w:r>
    </w:p>
  </w:footnote>
  <w:footnote w:type="continuationSeparator" w:id="0">
    <w:p w:rsidR="005E265F" w:rsidRDefault="005E265F" w:rsidP="008E609E">
      <w:r>
        <w:continuationSeparator/>
      </w:r>
    </w:p>
  </w:footnote>
  <w:footnote w:id="1">
    <w:p w:rsidR="008E609E" w:rsidRPr="008E609E" w:rsidRDefault="008E609E" w:rsidP="008E609E">
      <w:pPr>
        <w:pStyle w:val="DipnotMetni"/>
        <w:jc w:val="both"/>
      </w:pPr>
      <w:r w:rsidRPr="008E609E">
        <w:rPr>
          <w:rStyle w:val="DipnotBavurusu"/>
        </w:rPr>
        <w:footnoteRef/>
      </w:r>
      <w:r w:rsidRPr="008E609E">
        <w:rPr>
          <w:iCs/>
          <w:color w:val="1C283D"/>
          <w:vertAlign w:val="superscript"/>
        </w:rPr>
        <w:t xml:space="preserve"> </w:t>
      </w:r>
      <w:r w:rsidRPr="008E609E">
        <w:rPr>
          <w:iCs/>
          <w:color w:val="1C283D"/>
        </w:rPr>
        <w:t xml:space="preserve">Bu Tebliğin adı “Taşınır Kod Listesi Genel Tebliği (Sayı:2007/1)” iken </w:t>
      </w:r>
      <w:proofErr w:type="gramStart"/>
      <w:r w:rsidRPr="008E609E">
        <w:rPr>
          <w:iCs/>
          <w:color w:val="1C283D"/>
        </w:rPr>
        <w:t>6/12/201</w:t>
      </w:r>
      <w:r>
        <w:rPr>
          <w:iCs/>
          <w:color w:val="1C283D"/>
        </w:rPr>
        <w:t>4</w:t>
      </w:r>
      <w:proofErr w:type="gramEnd"/>
      <w:r w:rsidRPr="008E609E">
        <w:rPr>
          <w:iCs/>
          <w:color w:val="1C283D"/>
        </w:rPr>
        <w:t xml:space="preserve"> tarihli ve 29197 sayılı Resm</w:t>
      </w:r>
      <w:r>
        <w:rPr>
          <w:iCs/>
          <w:color w:val="1C283D"/>
        </w:rPr>
        <w:t>î</w:t>
      </w:r>
      <w:r w:rsidRPr="008E609E">
        <w:rPr>
          <w:iCs/>
          <w:color w:val="1C283D"/>
        </w:rPr>
        <w:t xml:space="preserve"> </w:t>
      </w:r>
      <w:proofErr w:type="spellStart"/>
      <w:r w:rsidRPr="008E609E">
        <w:rPr>
          <w:iCs/>
          <w:color w:val="1C283D"/>
        </w:rPr>
        <w:t>Gazete’de</w:t>
      </w:r>
      <w:proofErr w:type="spellEnd"/>
      <w:r w:rsidRPr="008E609E">
        <w:rPr>
          <w:iCs/>
          <w:color w:val="1C283D"/>
        </w:rPr>
        <w:t xml:space="preserve"> yayımlanan “Taşınır Kod Listesi Genel Tebliği (Sayı: 2007/1)’</w:t>
      </w:r>
      <w:proofErr w:type="spellStart"/>
      <w:r w:rsidRPr="008E609E">
        <w:rPr>
          <w:iCs/>
          <w:color w:val="1C283D"/>
        </w:rPr>
        <w:t>nde</w:t>
      </w:r>
      <w:proofErr w:type="spellEnd"/>
      <w:r w:rsidRPr="008E609E">
        <w:rPr>
          <w:iCs/>
          <w:color w:val="1C283D"/>
        </w:rPr>
        <w:t xml:space="preserve"> Değişiklik Yapılmasına Dair Tebliğ” ile metne işlendiği biçimde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5FD7"/>
    <w:multiLevelType w:val="hybridMultilevel"/>
    <w:tmpl w:val="391C5FF8"/>
    <w:lvl w:ilvl="0" w:tplc="B02C097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662B572C"/>
    <w:multiLevelType w:val="hybridMultilevel"/>
    <w:tmpl w:val="1FD47A5E"/>
    <w:lvl w:ilvl="0" w:tplc="F864A27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E"/>
    <w:rsid w:val="00197DCA"/>
    <w:rsid w:val="00245923"/>
    <w:rsid w:val="002579EC"/>
    <w:rsid w:val="00482D71"/>
    <w:rsid w:val="004A4A9B"/>
    <w:rsid w:val="005A1D2A"/>
    <w:rsid w:val="005E265F"/>
    <w:rsid w:val="006F640C"/>
    <w:rsid w:val="008E609E"/>
    <w:rsid w:val="009B44F7"/>
    <w:rsid w:val="009D36A1"/>
    <w:rsid w:val="00AD6778"/>
    <w:rsid w:val="00B736E7"/>
    <w:rsid w:val="00D23C2B"/>
    <w:rsid w:val="00D66ECE"/>
    <w:rsid w:val="00D95CCD"/>
    <w:rsid w:val="00E643D4"/>
    <w:rsid w:val="00EE55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E609E"/>
    <w:pPr>
      <w:keepNext/>
      <w:jc w:val="center"/>
      <w:outlineLvl w:val="0"/>
    </w:pPr>
    <w:rPr>
      <w:b/>
    </w:rPr>
  </w:style>
  <w:style w:type="paragraph" w:styleId="Balk2">
    <w:name w:val="heading 2"/>
    <w:basedOn w:val="Normal"/>
    <w:next w:val="Normal"/>
    <w:link w:val="Balk2Char"/>
    <w:qFormat/>
    <w:rsid w:val="008E609E"/>
    <w:pPr>
      <w:keepNext/>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609E"/>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8E609E"/>
    <w:rPr>
      <w:rFonts w:ascii="Times New Roman" w:eastAsia="Times New Roman" w:hAnsi="Times New Roman" w:cs="Times New Roman"/>
      <w:b/>
      <w:sz w:val="24"/>
      <w:szCs w:val="24"/>
      <w:lang w:eastAsia="tr-TR"/>
    </w:rPr>
  </w:style>
  <w:style w:type="paragraph" w:styleId="GvdeMetni">
    <w:name w:val="Body Text"/>
    <w:basedOn w:val="Normal"/>
    <w:link w:val="GvdeMetniChar"/>
    <w:semiHidden/>
    <w:rsid w:val="008E609E"/>
    <w:pPr>
      <w:jc w:val="both"/>
    </w:pPr>
  </w:style>
  <w:style w:type="character" w:customStyle="1" w:styleId="GvdeMetniChar">
    <w:name w:val="Gövde Metni Char"/>
    <w:basedOn w:val="VarsaylanParagrafYazTipi"/>
    <w:link w:val="GvdeMetni"/>
    <w:semiHidden/>
    <w:rsid w:val="008E609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8E609E"/>
    <w:pPr>
      <w:ind w:firstLine="720"/>
      <w:jc w:val="both"/>
    </w:pPr>
  </w:style>
  <w:style w:type="character" w:customStyle="1" w:styleId="GvdeMetniGirintisiChar">
    <w:name w:val="Gövde Metni Girintisi Char"/>
    <w:basedOn w:val="VarsaylanParagrafYazTipi"/>
    <w:link w:val="GvdeMetniGirintisi"/>
    <w:semiHidden/>
    <w:rsid w:val="008E609E"/>
    <w:rPr>
      <w:rFonts w:ascii="Times New Roman" w:eastAsia="Times New Roman" w:hAnsi="Times New Roman" w:cs="Times New Roman"/>
      <w:sz w:val="24"/>
      <w:szCs w:val="24"/>
      <w:lang w:eastAsia="tr-TR"/>
    </w:rPr>
  </w:style>
  <w:style w:type="paragraph" w:styleId="Altbilgi">
    <w:name w:val="footer"/>
    <w:basedOn w:val="Normal"/>
    <w:link w:val="AltbilgiChar"/>
    <w:semiHidden/>
    <w:rsid w:val="008E609E"/>
    <w:pPr>
      <w:tabs>
        <w:tab w:val="center" w:pos="4536"/>
        <w:tab w:val="right" w:pos="9072"/>
      </w:tabs>
    </w:pPr>
  </w:style>
  <w:style w:type="character" w:customStyle="1" w:styleId="AltbilgiChar">
    <w:name w:val="Altbilgi Char"/>
    <w:basedOn w:val="VarsaylanParagrafYazTipi"/>
    <w:link w:val="Altbilgi"/>
    <w:semiHidden/>
    <w:rsid w:val="008E609E"/>
    <w:rPr>
      <w:rFonts w:ascii="Times New Roman" w:eastAsia="Times New Roman" w:hAnsi="Times New Roman" w:cs="Times New Roman"/>
      <w:sz w:val="24"/>
      <w:szCs w:val="24"/>
      <w:lang w:eastAsia="tr-TR"/>
    </w:rPr>
  </w:style>
  <w:style w:type="character" w:styleId="Kpr">
    <w:name w:val="Hyperlink"/>
    <w:basedOn w:val="VarsaylanParagrafYazTipi"/>
    <w:semiHidden/>
    <w:rsid w:val="008E609E"/>
    <w:rPr>
      <w:color w:val="0000FF"/>
      <w:u w:val="single"/>
    </w:rPr>
  </w:style>
  <w:style w:type="paragraph" w:styleId="DipnotMetni">
    <w:name w:val="footnote text"/>
    <w:basedOn w:val="Normal"/>
    <w:link w:val="DipnotMetniChar"/>
    <w:uiPriority w:val="99"/>
    <w:semiHidden/>
    <w:unhideWhenUsed/>
    <w:rsid w:val="008E609E"/>
    <w:rPr>
      <w:sz w:val="20"/>
      <w:szCs w:val="20"/>
    </w:rPr>
  </w:style>
  <w:style w:type="character" w:customStyle="1" w:styleId="DipnotMetniChar">
    <w:name w:val="Dipnot Metni Char"/>
    <w:basedOn w:val="VarsaylanParagrafYazTipi"/>
    <w:link w:val="DipnotMetni"/>
    <w:uiPriority w:val="99"/>
    <w:semiHidden/>
    <w:rsid w:val="008E609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E60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9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E609E"/>
    <w:pPr>
      <w:keepNext/>
      <w:jc w:val="center"/>
      <w:outlineLvl w:val="0"/>
    </w:pPr>
    <w:rPr>
      <w:b/>
    </w:rPr>
  </w:style>
  <w:style w:type="paragraph" w:styleId="Balk2">
    <w:name w:val="heading 2"/>
    <w:basedOn w:val="Normal"/>
    <w:next w:val="Normal"/>
    <w:link w:val="Balk2Char"/>
    <w:qFormat/>
    <w:rsid w:val="008E609E"/>
    <w:pPr>
      <w:keepNext/>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609E"/>
    <w:rPr>
      <w:rFonts w:ascii="Times New Roman" w:eastAsia="Times New Roman" w:hAnsi="Times New Roman" w:cs="Times New Roman"/>
      <w:b/>
      <w:sz w:val="24"/>
      <w:szCs w:val="24"/>
      <w:lang w:eastAsia="tr-TR"/>
    </w:rPr>
  </w:style>
  <w:style w:type="character" w:customStyle="1" w:styleId="Balk2Char">
    <w:name w:val="Başlık 2 Char"/>
    <w:basedOn w:val="VarsaylanParagrafYazTipi"/>
    <w:link w:val="Balk2"/>
    <w:rsid w:val="008E609E"/>
    <w:rPr>
      <w:rFonts w:ascii="Times New Roman" w:eastAsia="Times New Roman" w:hAnsi="Times New Roman" w:cs="Times New Roman"/>
      <w:b/>
      <w:sz w:val="24"/>
      <w:szCs w:val="24"/>
      <w:lang w:eastAsia="tr-TR"/>
    </w:rPr>
  </w:style>
  <w:style w:type="paragraph" w:styleId="GvdeMetni">
    <w:name w:val="Body Text"/>
    <w:basedOn w:val="Normal"/>
    <w:link w:val="GvdeMetniChar"/>
    <w:semiHidden/>
    <w:rsid w:val="008E609E"/>
    <w:pPr>
      <w:jc w:val="both"/>
    </w:pPr>
  </w:style>
  <w:style w:type="character" w:customStyle="1" w:styleId="GvdeMetniChar">
    <w:name w:val="Gövde Metni Char"/>
    <w:basedOn w:val="VarsaylanParagrafYazTipi"/>
    <w:link w:val="GvdeMetni"/>
    <w:semiHidden/>
    <w:rsid w:val="008E609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rsid w:val="008E609E"/>
    <w:pPr>
      <w:ind w:firstLine="720"/>
      <w:jc w:val="both"/>
    </w:pPr>
  </w:style>
  <w:style w:type="character" w:customStyle="1" w:styleId="GvdeMetniGirintisiChar">
    <w:name w:val="Gövde Metni Girintisi Char"/>
    <w:basedOn w:val="VarsaylanParagrafYazTipi"/>
    <w:link w:val="GvdeMetniGirintisi"/>
    <w:semiHidden/>
    <w:rsid w:val="008E609E"/>
    <w:rPr>
      <w:rFonts w:ascii="Times New Roman" w:eastAsia="Times New Roman" w:hAnsi="Times New Roman" w:cs="Times New Roman"/>
      <w:sz w:val="24"/>
      <w:szCs w:val="24"/>
      <w:lang w:eastAsia="tr-TR"/>
    </w:rPr>
  </w:style>
  <w:style w:type="paragraph" w:styleId="Altbilgi">
    <w:name w:val="footer"/>
    <w:basedOn w:val="Normal"/>
    <w:link w:val="AltbilgiChar"/>
    <w:semiHidden/>
    <w:rsid w:val="008E609E"/>
    <w:pPr>
      <w:tabs>
        <w:tab w:val="center" w:pos="4536"/>
        <w:tab w:val="right" w:pos="9072"/>
      </w:tabs>
    </w:pPr>
  </w:style>
  <w:style w:type="character" w:customStyle="1" w:styleId="AltbilgiChar">
    <w:name w:val="Altbilgi Char"/>
    <w:basedOn w:val="VarsaylanParagrafYazTipi"/>
    <w:link w:val="Altbilgi"/>
    <w:semiHidden/>
    <w:rsid w:val="008E609E"/>
    <w:rPr>
      <w:rFonts w:ascii="Times New Roman" w:eastAsia="Times New Roman" w:hAnsi="Times New Roman" w:cs="Times New Roman"/>
      <w:sz w:val="24"/>
      <w:szCs w:val="24"/>
      <w:lang w:eastAsia="tr-TR"/>
    </w:rPr>
  </w:style>
  <w:style w:type="character" w:styleId="Kpr">
    <w:name w:val="Hyperlink"/>
    <w:basedOn w:val="VarsaylanParagrafYazTipi"/>
    <w:semiHidden/>
    <w:rsid w:val="008E609E"/>
    <w:rPr>
      <w:color w:val="0000FF"/>
      <w:u w:val="single"/>
    </w:rPr>
  </w:style>
  <w:style w:type="paragraph" w:styleId="DipnotMetni">
    <w:name w:val="footnote text"/>
    <w:basedOn w:val="Normal"/>
    <w:link w:val="DipnotMetniChar"/>
    <w:uiPriority w:val="99"/>
    <w:semiHidden/>
    <w:unhideWhenUsed/>
    <w:rsid w:val="008E609E"/>
    <w:rPr>
      <w:sz w:val="20"/>
      <w:szCs w:val="20"/>
    </w:rPr>
  </w:style>
  <w:style w:type="character" w:customStyle="1" w:styleId="DipnotMetniChar">
    <w:name w:val="Dipnot Metni Char"/>
    <w:basedOn w:val="VarsaylanParagrafYazTipi"/>
    <w:link w:val="DipnotMetni"/>
    <w:uiPriority w:val="99"/>
    <w:semiHidden/>
    <w:rsid w:val="008E609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E6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hasebat.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D8272-8B63-4EEA-B562-407AA90B4EF7}"/>
</file>

<file path=customXml/itemProps2.xml><?xml version="1.0" encoding="utf-8"?>
<ds:datastoreItem xmlns:ds="http://schemas.openxmlformats.org/officeDocument/2006/customXml" ds:itemID="{9A6C698C-811D-4B9D-BBC5-26C1233C579A}"/>
</file>

<file path=customXml/itemProps3.xml><?xml version="1.0" encoding="utf-8"?>
<ds:datastoreItem xmlns:ds="http://schemas.openxmlformats.org/officeDocument/2006/customXml" ds:itemID="{2BBE9212-89A2-40BE-8A0F-8A4B782164A3}"/>
</file>

<file path=customXml/itemProps4.xml><?xml version="1.0" encoding="utf-8"?>
<ds:datastoreItem xmlns:ds="http://schemas.openxmlformats.org/officeDocument/2006/customXml" ds:itemID="{3318D6F3-F8A9-40D2-B02C-D43940A2A9B9}"/>
</file>

<file path=docProps/app.xml><?xml version="1.0" encoding="utf-8"?>
<Properties xmlns="http://schemas.openxmlformats.org/officeDocument/2006/extended-properties" xmlns:vt="http://schemas.openxmlformats.org/officeDocument/2006/docPropsVTypes">
  <Template>Normal</Template>
  <TotalTime>10</TotalTime>
  <Pages>2</Pages>
  <Words>1062</Words>
  <Characters>6058</Characters>
  <Application>Microsoft Office Word</Application>
  <DocSecurity>0</DocSecurity>
  <Lines>50</Lines>
  <Paragraphs>14</Paragraphs>
  <ScaleCrop>false</ScaleCrop>
  <Company>Muhasebat Gn.Md.</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Nurhan Kuzbınar</dc:creator>
  <cp:keywords/>
  <dc:description/>
  <cp:lastModifiedBy>Mustafa PEKDEMİR</cp:lastModifiedBy>
  <cp:revision>6</cp:revision>
  <dcterms:created xsi:type="dcterms:W3CDTF">2014-12-09T09:38:00Z</dcterms:created>
  <dcterms:modified xsi:type="dcterms:W3CDTF">2015-10-16T12:47:00Z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