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>Rapor No:A-01/00/001/1322/2022-0001/00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28ECAC2E" w:rsidR="004C382D" w:rsidRPr="00672FB9" w:rsidRDefault="00FB7255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Bantlı</w:t>
            </w:r>
            <w:r w:rsidR="003D24D1">
              <w:rPr>
                <w:rFonts w:ascii="Arial" w:hAnsi="Arial" w:cs="Arial"/>
                <w:sz w:val="28"/>
                <w:szCs w:val="28"/>
              </w:rPr>
              <w:t xml:space="preserve"> Götürücü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5434D4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>Adres, Tel, Fax,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>Adres, Tel, Fax,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080BBF5A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 Tanıtımı</w:t>
      </w:r>
    </w:p>
    <w:p w14:paraId="797CEB21" w14:textId="5F8DF619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4EC52F4B" w14:textId="77777777" w:rsidR="00FB7255" w:rsidRPr="00FB7255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FB7255">
        <w:rPr>
          <w:rFonts w:ascii="Arial" w:hAnsi="Arial" w:cs="Arial"/>
          <w:sz w:val="22"/>
          <w:szCs w:val="22"/>
        </w:rPr>
        <w:t xml:space="preserve">……………. Firması tarafından imal/ithal edilen …………marka, ……………..model…………….., ………. bantlı götürücü; meyil ayarı olan, frenleme tertibatı ile donatılmıştır. Çalışma sırasında bantlı götürücünün hareket etmemesi için otomatik kilit sistemi ile donatılmış tip bir makinadır. </w:t>
      </w:r>
    </w:p>
    <w:p w14:paraId="7F409FE5" w14:textId="4C58DDCF" w:rsidR="00E62030" w:rsidRPr="00E62030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FB7255">
        <w:rPr>
          <w:rFonts w:ascii="Arial" w:hAnsi="Arial" w:cs="Arial"/>
          <w:sz w:val="22"/>
          <w:szCs w:val="22"/>
        </w:rPr>
        <w:t xml:space="preserve">Bantlı götürücü, tohum ve mineral </w:t>
      </w:r>
      <w:r w:rsidR="00A7011B" w:rsidRPr="00FB7255">
        <w:rPr>
          <w:rFonts w:ascii="Arial" w:hAnsi="Arial" w:cs="Arial"/>
          <w:sz w:val="22"/>
          <w:szCs w:val="22"/>
        </w:rPr>
        <w:t>gübre gibi</w:t>
      </w:r>
      <w:r w:rsidRPr="00FB7255">
        <w:rPr>
          <w:rFonts w:ascii="Arial" w:hAnsi="Arial" w:cs="Arial"/>
          <w:sz w:val="22"/>
          <w:szCs w:val="22"/>
        </w:rPr>
        <w:t xml:space="preserve"> materyallerin tarımsal amaçlı belirli bir yükseklikten veya yüksekliğe taşınması amacıyla imal edilmiştir. Makine …………….. renge boyanmış olup, üzerinde imalatçı firmanın adı yazılı bir etiket bulunmaktadır.</w:t>
      </w:r>
    </w:p>
    <w:p w14:paraId="2E9EA492" w14:textId="77777777" w:rsidR="00A37A97" w:rsidRPr="00672FB9" w:rsidRDefault="009B691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4A60E84C" w:rsidR="00531DF3" w:rsidRDefault="00531DF3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6CD8EA71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 xml:space="preserve">(Ölçüler </w:t>
      </w:r>
      <w:r w:rsidR="00DE1DFA">
        <w:rPr>
          <w:rFonts w:ascii="Arial" w:hAnsi="Arial" w:cs="Arial"/>
          <w:bCs/>
          <w:sz w:val="24"/>
          <w:szCs w:val="24"/>
        </w:rPr>
        <w:t xml:space="preserve">makinanın taşıma </w:t>
      </w:r>
      <w:r w:rsidRPr="00E62030">
        <w:rPr>
          <w:rFonts w:ascii="Arial" w:hAnsi="Arial" w:cs="Arial"/>
          <w:bCs/>
          <w:sz w:val="24"/>
          <w:szCs w:val="24"/>
        </w:rPr>
        <w:t>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3672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559"/>
      </w:tblGrid>
      <w:tr w:rsidR="00E62030" w:rsidRPr="001947A7" w14:paraId="53FC4C9B" w14:textId="77777777" w:rsidTr="00FB7255">
        <w:trPr>
          <w:jc w:val="center"/>
        </w:trPr>
        <w:tc>
          <w:tcPr>
            <w:tcW w:w="2979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851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FB7255">
        <w:trPr>
          <w:jc w:val="center"/>
        </w:trPr>
        <w:tc>
          <w:tcPr>
            <w:tcW w:w="2979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851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FB7255">
        <w:trPr>
          <w:jc w:val="center"/>
        </w:trPr>
        <w:tc>
          <w:tcPr>
            <w:tcW w:w="2979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851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52874" w:rsidRPr="001947A7" w14:paraId="05BE4138" w14:textId="77777777" w:rsidTr="00FB7255">
        <w:trPr>
          <w:jc w:val="center"/>
        </w:trPr>
        <w:tc>
          <w:tcPr>
            <w:tcW w:w="2979" w:type="pct"/>
            <w:vAlign w:val="center"/>
          </w:tcPr>
          <w:p w14:paraId="7A7639F0" w14:textId="5BC1ECDD" w:rsidR="00352874" w:rsidRPr="001947A7" w:rsidRDefault="00352874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Ağırlık</w:t>
            </w:r>
          </w:p>
        </w:tc>
        <w:tc>
          <w:tcPr>
            <w:tcW w:w="851" w:type="pct"/>
            <w:vAlign w:val="center"/>
          </w:tcPr>
          <w:p w14:paraId="2499A9C5" w14:textId="605A1216" w:rsidR="00352874" w:rsidRPr="001947A7" w:rsidRDefault="00352874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170" w:type="pct"/>
            <w:vAlign w:val="center"/>
          </w:tcPr>
          <w:p w14:paraId="3612AE87" w14:textId="7A74BB71" w:rsidR="00352874" w:rsidRPr="001947A7" w:rsidRDefault="00352874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168A99" w14:textId="77777777" w:rsidR="00FB7255" w:rsidRPr="00672FB9" w:rsidRDefault="003D24D1" w:rsidP="00FB7255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</w:rPr>
        <w:t>Makine Çatı, Şasi ve Dingil</w:t>
      </w:r>
      <w:r w:rsidR="00FB7255" w:rsidRPr="00672FB9">
        <w:rPr>
          <w:rFonts w:ascii="Arial" w:hAnsi="Arial" w:cs="Arial"/>
          <w:b/>
          <w:sz w:val="24"/>
        </w:rPr>
        <w:t xml:space="preserve"> Düzeni</w:t>
      </w:r>
      <w:r w:rsidR="00FB7255" w:rsidRPr="00672FB9">
        <w:rPr>
          <w:rFonts w:ascii="Arial" w:hAnsi="Arial" w:cs="Arial"/>
          <w:b/>
          <w:sz w:val="24"/>
        </w:rPr>
        <w:tab/>
      </w:r>
      <w:r w:rsidR="00FB7255" w:rsidRPr="00672FB9">
        <w:rPr>
          <w:rFonts w:ascii="Arial" w:hAnsi="Arial" w:cs="Arial"/>
          <w:b/>
          <w:sz w:val="24"/>
        </w:rPr>
        <w:tab/>
      </w:r>
    </w:p>
    <w:p w14:paraId="6ECFD6D6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Makine çatısı ……. mm profil malzemenin …… mm profil malzemelerin kaynak yapılması ile imal edilmiştir.</w:t>
      </w:r>
    </w:p>
    <w:p w14:paraId="3671C5FB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Makine çatısına kaynakla bağlanan şasi …… mm profillerden oluşmaktadır.</w:t>
      </w:r>
    </w:p>
    <w:p w14:paraId="63FEE29A" w14:textId="49D48BE6" w:rsidR="00D320A4" w:rsidRP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Bantlı götürücünün taşınması sırasında makina şasisine kaynakla bağlı olan şasi ….. mm profil malzemeden yapılmıştır. Dingillerin üzerine bağlı olduğu taşıyıcı tekerlek …… ölçülerinde olup otomatik kilit sistemi ile donatılmıştır.</w:t>
      </w:r>
    </w:p>
    <w:p w14:paraId="48AC55D0" w14:textId="621BA195" w:rsidR="003D24D1" w:rsidRDefault="003D24D1" w:rsidP="003D24D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Hareket İletim Düzeni</w:t>
      </w:r>
    </w:p>
    <w:p w14:paraId="6CCC47BB" w14:textId="0486AB71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Elektrik motoru ile </w:t>
      </w:r>
      <w:r w:rsidR="003D24D1" w:rsidRPr="003D24D1">
        <w:rPr>
          <w:rFonts w:ascii="Arial" w:hAnsi="Arial" w:cs="Arial"/>
          <w:sz w:val="22"/>
          <w:szCs w:val="18"/>
        </w:rPr>
        <w:t xml:space="preserve">alınan hareket makine üzerinde bulunan bir dişli kutusu aracılığıyla yönü </w:t>
      </w:r>
      <w:r w:rsidR="003D24D1">
        <w:rPr>
          <w:rFonts w:ascii="Arial" w:hAnsi="Arial" w:cs="Arial"/>
          <w:sz w:val="22"/>
          <w:szCs w:val="18"/>
        </w:rPr>
        <w:t>….</w:t>
      </w:r>
      <w:r w:rsidR="003D24D1">
        <w:rPr>
          <w:rFonts w:ascii="Arial" w:hAnsi="Arial" w:cs="Arial"/>
          <w:sz w:val="22"/>
          <w:szCs w:val="18"/>
          <w:vertAlign w:val="superscript"/>
        </w:rPr>
        <w:t>o</w:t>
      </w:r>
      <w:r w:rsidR="003D24D1" w:rsidRPr="003D24D1">
        <w:rPr>
          <w:rFonts w:ascii="Arial" w:hAnsi="Arial" w:cs="Arial"/>
          <w:sz w:val="22"/>
          <w:szCs w:val="18"/>
        </w:rPr>
        <w:t xml:space="preserve"> döndürülerek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mm çapındaki transmisyon miline iletilmektedir. Transmisyon milinden </w:t>
      </w:r>
      <w:r w:rsidR="003D24D1">
        <w:rPr>
          <w:rFonts w:ascii="Arial" w:hAnsi="Arial" w:cs="Arial"/>
          <w:sz w:val="22"/>
          <w:szCs w:val="18"/>
        </w:rPr>
        <w:t>……</w:t>
      </w:r>
      <w:r w:rsidR="003D24D1" w:rsidRPr="003D24D1">
        <w:rPr>
          <w:rFonts w:ascii="Arial" w:hAnsi="Arial" w:cs="Arial"/>
          <w:sz w:val="22"/>
          <w:szCs w:val="18"/>
        </w:rPr>
        <w:t xml:space="preserve"> ölçülerindeki 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adet V kayış yardımıyla alınan hareket </w:t>
      </w:r>
      <w:r>
        <w:rPr>
          <w:rFonts w:ascii="Arial" w:hAnsi="Arial" w:cs="Arial"/>
          <w:sz w:val="22"/>
          <w:szCs w:val="18"/>
        </w:rPr>
        <w:t>tambur</w:t>
      </w:r>
      <w:r w:rsidR="003D24D1" w:rsidRPr="003D24D1">
        <w:rPr>
          <w:rFonts w:ascii="Arial" w:hAnsi="Arial" w:cs="Arial"/>
          <w:sz w:val="22"/>
          <w:szCs w:val="18"/>
        </w:rPr>
        <w:t xml:space="preserve"> miline iletilmektedir. Sistemde kullanılan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mm’lik kayışa uygun iki kanallı V kasnakların dış çapları sırasıyla,  D1: 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mm, D2:</w:t>
      </w:r>
      <w:r w:rsidR="003D24D1">
        <w:rPr>
          <w:rFonts w:ascii="Arial" w:hAnsi="Arial" w:cs="Arial"/>
          <w:sz w:val="22"/>
          <w:szCs w:val="18"/>
        </w:rPr>
        <w:t>….</w:t>
      </w:r>
      <w:r w:rsidR="003D24D1" w:rsidRPr="003D24D1">
        <w:rPr>
          <w:rFonts w:ascii="Arial" w:hAnsi="Arial" w:cs="Arial"/>
          <w:sz w:val="22"/>
          <w:szCs w:val="18"/>
        </w:rPr>
        <w:t xml:space="preserve"> mm ölçülerindedir. </w:t>
      </w:r>
      <w:r w:rsidR="003D24D1">
        <w:rPr>
          <w:rFonts w:ascii="Arial" w:hAnsi="Arial" w:cs="Arial"/>
          <w:sz w:val="22"/>
          <w:szCs w:val="18"/>
        </w:rPr>
        <w:t>(Şekil 1)</w:t>
      </w:r>
    </w:p>
    <w:sdt>
      <w:sdtPr>
        <w:rPr>
          <w:rFonts w:ascii="Arial" w:hAnsi="Arial" w:cs="Arial"/>
          <w:sz w:val="22"/>
          <w:szCs w:val="18"/>
        </w:rPr>
        <w:id w:val="891315739"/>
        <w:showingPlcHdr/>
        <w:picture/>
      </w:sdtPr>
      <w:sdtEndPr/>
      <w:sdtContent>
        <w:p w14:paraId="75BF8CE9" w14:textId="7B311FCB" w:rsidR="003D24D1" w:rsidRDefault="00FB7255" w:rsidP="003D24D1">
          <w:pPr>
            <w:spacing w:before="120" w:after="120" w:line="0" w:lineRule="atLeast"/>
            <w:jc w:val="center"/>
            <w:rPr>
              <w:rFonts w:ascii="Arial" w:hAnsi="Arial" w:cs="Arial"/>
              <w:sz w:val="22"/>
              <w:szCs w:val="18"/>
            </w:rPr>
          </w:pPr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391BCD77" wp14:editId="0BD1658A">
                <wp:extent cx="1905000" cy="1905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97FB0" w14:textId="249CB003" w:rsidR="003D24D1" w:rsidRDefault="003D24D1" w:rsidP="00DE1DFA">
      <w:pPr>
        <w:spacing w:before="120" w:after="120" w:line="0" w:lineRule="atLeast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 1. Hareket iletim şeması</w:t>
      </w:r>
    </w:p>
    <w:p w14:paraId="0ED42D23" w14:textId="6BC8ACB8" w:rsid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</w:t>
      </w:r>
      <w:r w:rsidRPr="00C25DFA">
        <w:rPr>
          <w:rFonts w:ascii="Arial" w:hAnsi="Arial" w:cs="Arial"/>
          <w:sz w:val="22"/>
          <w:szCs w:val="18"/>
        </w:rPr>
        <w:t xml:space="preserve"> 1’de verilen şematik hareket iletim düzeninde; hareket, </w:t>
      </w:r>
      <w:r>
        <w:rPr>
          <w:rFonts w:ascii="Arial" w:hAnsi="Arial" w:cs="Arial"/>
          <w:sz w:val="22"/>
          <w:szCs w:val="18"/>
        </w:rPr>
        <w:t>…</w:t>
      </w:r>
      <w:r w:rsidRPr="00C25DFA">
        <w:rPr>
          <w:rFonts w:ascii="Arial" w:hAnsi="Arial" w:cs="Arial"/>
          <w:sz w:val="22"/>
          <w:szCs w:val="18"/>
        </w:rPr>
        <w:t xml:space="preserve"> çapındaki bir mil yardımıyla değişik aralıklarda altı ayrı noktada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rulmanlı yatak kullanılarak,</w:t>
      </w:r>
      <w:r w:rsidR="00FB7255">
        <w:rPr>
          <w:rFonts w:ascii="Arial" w:hAnsi="Arial" w:cs="Arial"/>
          <w:sz w:val="22"/>
          <w:szCs w:val="18"/>
        </w:rPr>
        <w:t xml:space="preserve"> devir oranı elektrik motorundan</w:t>
      </w:r>
      <w:r w:rsidRPr="00C25DFA">
        <w:rPr>
          <w:rFonts w:ascii="Arial" w:hAnsi="Arial" w:cs="Arial"/>
          <w:sz w:val="22"/>
          <w:szCs w:val="18"/>
        </w:rPr>
        <w:t xml:space="preserve"> </w:t>
      </w:r>
      <w:r w:rsidR="00FB7255">
        <w:rPr>
          <w:rFonts w:ascii="Arial" w:hAnsi="Arial" w:cs="Arial"/>
          <w:sz w:val="22"/>
          <w:szCs w:val="18"/>
        </w:rPr>
        <w:t xml:space="preserve">bantlı </w:t>
      </w:r>
      <w:r w:rsidR="00352874">
        <w:rPr>
          <w:rFonts w:ascii="Arial" w:hAnsi="Arial" w:cs="Arial"/>
          <w:sz w:val="22"/>
          <w:szCs w:val="18"/>
        </w:rPr>
        <w:t>götürücüye</w:t>
      </w:r>
      <w:r w:rsidRPr="00C25DFA">
        <w:rPr>
          <w:rFonts w:ascii="Arial" w:hAnsi="Arial" w:cs="Arial"/>
          <w:sz w:val="22"/>
          <w:szCs w:val="18"/>
        </w:rPr>
        <w:t xml:space="preserve"> yaklaşık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oranında arttırılarak iletilmektedir. Sistemde kullanılan </w:t>
      </w:r>
      <w:r>
        <w:rPr>
          <w:rFonts w:ascii="Arial" w:hAnsi="Arial" w:cs="Arial"/>
          <w:sz w:val="22"/>
          <w:szCs w:val="18"/>
        </w:rPr>
        <w:t>…..</w:t>
      </w:r>
      <w:r w:rsidRPr="00C25DFA">
        <w:rPr>
          <w:rFonts w:ascii="Arial" w:hAnsi="Arial" w:cs="Arial"/>
          <w:sz w:val="22"/>
          <w:szCs w:val="18"/>
        </w:rPr>
        <w:t xml:space="preserve"> mm’lik kayışa uygun iki kanallı V kasnakların dış çapları dişli kutusundan itibaren sırasıyla,  D1: </w:t>
      </w:r>
      <w:r>
        <w:rPr>
          <w:rFonts w:ascii="Arial" w:hAnsi="Arial" w:cs="Arial"/>
          <w:sz w:val="22"/>
          <w:szCs w:val="18"/>
        </w:rPr>
        <w:t>….</w:t>
      </w:r>
      <w:r w:rsidRPr="00C25DFA">
        <w:rPr>
          <w:rFonts w:ascii="Arial" w:hAnsi="Arial" w:cs="Arial"/>
          <w:sz w:val="22"/>
          <w:szCs w:val="18"/>
        </w:rPr>
        <w:t xml:space="preserve"> mm ve D2:</w:t>
      </w:r>
      <w:r>
        <w:rPr>
          <w:rFonts w:ascii="Arial" w:hAnsi="Arial" w:cs="Arial"/>
          <w:sz w:val="22"/>
          <w:szCs w:val="18"/>
        </w:rPr>
        <w:t>….</w:t>
      </w:r>
      <w:r w:rsidRPr="00C25DFA">
        <w:rPr>
          <w:rFonts w:ascii="Arial" w:hAnsi="Arial" w:cs="Arial"/>
          <w:sz w:val="22"/>
          <w:szCs w:val="18"/>
        </w:rPr>
        <w:t xml:space="preserve"> mm ölçülerindedir.</w:t>
      </w:r>
    </w:p>
    <w:p w14:paraId="629AB3C5" w14:textId="410B08F3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Bantlı götürücüde</w:t>
      </w:r>
      <w:r w:rsidR="00C25DFA">
        <w:rPr>
          <w:rFonts w:ascii="Arial" w:hAnsi="Arial" w:cs="Arial"/>
          <w:sz w:val="22"/>
          <w:szCs w:val="18"/>
        </w:rPr>
        <w:t xml:space="preserve"> kullanılan elektrik motorunun etiket bilgileri aşağıda belirtilmiştir.</w:t>
      </w:r>
    </w:p>
    <w:p w14:paraId="29D7323A" w14:textId="7777777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>Elektrik Motorlu Etiket Bilgileri:</w:t>
      </w:r>
    </w:p>
    <w:p w14:paraId="3FAEA9F8" w14:textId="5F631C74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Marka</w:t>
      </w:r>
      <w:r w:rsidRPr="00C25DFA">
        <w:rPr>
          <w:rFonts w:ascii="Arial" w:hAnsi="Arial" w:cs="Arial"/>
          <w:sz w:val="22"/>
          <w:szCs w:val="18"/>
        </w:rPr>
        <w:tab/>
        <w:t>(Monofaze)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2ABB7333" w14:textId="78478799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Gerilim</w:t>
      </w:r>
      <w:r w:rsidRPr="00C25DFA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43F38C7" w14:textId="6B29E34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Akım Şiddeti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38720E8C" w14:textId="41010DCF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Şebeke Frekansı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0AA4EC33" w14:textId="607B9125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Gücü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7FCFB0" w14:textId="7F7C1533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Devir Sayısı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52DF9E" w14:textId="317824B4" w:rsidR="00C25DFA" w:rsidRDefault="00C25DFA" w:rsidP="00C25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  <w:szCs w:val="24"/>
        </w:rPr>
        <w:t>Bant Düzeni</w:t>
      </w:r>
    </w:p>
    <w:p w14:paraId="29D1F7D7" w14:textId="2DBFF422" w:rsidR="00761D49" w:rsidRDefault="00A449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Bantlı götürücü meyil a</w:t>
      </w:r>
      <w:r w:rsidR="00761D49">
        <w:rPr>
          <w:rFonts w:ascii="Arial" w:hAnsi="Arial" w:cs="Arial"/>
          <w:sz w:val="22"/>
          <w:szCs w:val="18"/>
        </w:rPr>
        <w:t xml:space="preserve">yar kolaylıkla yapılabilmesi için ayar tertibatı ile ayarlanan yükseklikte yüklü durumda kalabilmektedir. Bantlı götürücülerin taşıyıcı tekerlekleri üzerinde çalışma durumunda hareket etmesini önleyecek kilitleme tertibatı bulunmaktadır. </w:t>
      </w:r>
    </w:p>
    <w:p w14:paraId="380585A2" w14:textId="7987464B" w:rsidR="00761D49" w:rsidRDefault="00761D49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götürücünün çalışması sırasında bant hareketini durdurabilecek frenleme tertibatına sahiptir. </w:t>
      </w:r>
    </w:p>
    <w:p w14:paraId="43E7E0B9" w14:textId="0118C48B" w:rsidR="00FB7255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götürücüde kullanılan bantlar TS EN ISO 14890’a uygun olarak yapılmıştır. Bant genişliği … mm’dir. Bant kenar açıklığı … mm’dir. </w:t>
      </w:r>
    </w:p>
    <w:p w14:paraId="1F43ABBD" w14:textId="5DBBB84B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götürücüde kullanılan makara anma çapları … mm ölçüsündedir. Makaraların her iki uçtan yataklandırılmış … numaralı … adet rulman bulunmaktadır. </w:t>
      </w:r>
    </w:p>
    <w:p w14:paraId="5EC68D6A" w14:textId="6545FF80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Konveyörlerde kullanılan tambur çapları … mm’dir. Bant genişliğine bağlı olarak tambur genişliği ise … mm ölçüsündedir. </w:t>
      </w:r>
    </w:p>
    <w:p w14:paraId="46331775" w14:textId="2E92BB7D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lastRenderedPageBreak/>
        <w:t xml:space="preserve">Makinede materyalin </w:t>
      </w:r>
      <w:r w:rsidR="00A449F1">
        <w:rPr>
          <w:rFonts w:ascii="Arial" w:hAnsi="Arial" w:cs="Arial"/>
          <w:sz w:val="22"/>
          <w:szCs w:val="18"/>
        </w:rPr>
        <w:t xml:space="preserve">bantlı götürücü </w:t>
      </w:r>
      <w:r w:rsidRPr="00C25DFA">
        <w:rPr>
          <w:rFonts w:ascii="Arial" w:hAnsi="Arial" w:cs="Arial"/>
          <w:sz w:val="22"/>
          <w:szCs w:val="18"/>
        </w:rPr>
        <w:t xml:space="preserve">içine alınmasını kolaylaştırmak için bir besleme ağzı bulunmaktadır. </w:t>
      </w:r>
      <w:r w:rsidR="00A449F1">
        <w:rPr>
          <w:rFonts w:ascii="Arial" w:hAnsi="Arial" w:cs="Arial"/>
          <w:sz w:val="22"/>
          <w:szCs w:val="18"/>
        </w:rPr>
        <w:t xml:space="preserve">Besleme ağzı genişliği … mm’dir. </w:t>
      </w:r>
      <w:r w:rsidRPr="00C25DFA">
        <w:rPr>
          <w:rFonts w:ascii="Arial" w:hAnsi="Arial" w:cs="Arial"/>
          <w:sz w:val="22"/>
          <w:szCs w:val="18"/>
        </w:rPr>
        <w:t>Besleme ağzı, materyal girişini engellemeksizin emniyet amaçlı bir muhafaza elemanı ile korunmuştur.</w:t>
      </w:r>
    </w:p>
    <w:p w14:paraId="10C97DAF" w14:textId="552106C5" w:rsidR="00C25DFA" w:rsidRPr="00C25DFA" w:rsidRDefault="00C25DFA" w:rsidP="00DE1DFA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 xml:space="preserve">Denemeye alınana </w:t>
      </w:r>
      <w:r w:rsidR="00761D49">
        <w:rPr>
          <w:rFonts w:ascii="Arial" w:hAnsi="Arial" w:cs="Arial"/>
          <w:b/>
          <w:bCs/>
          <w:sz w:val="22"/>
          <w:szCs w:val="18"/>
        </w:rPr>
        <w:t>bantlı götürücüye</w:t>
      </w:r>
      <w:r w:rsidRPr="00C25DFA">
        <w:rPr>
          <w:rFonts w:ascii="Arial" w:hAnsi="Arial" w:cs="Arial"/>
          <w:b/>
          <w:bCs/>
          <w:sz w:val="22"/>
          <w:szCs w:val="18"/>
        </w:rPr>
        <w:t xml:space="preserve"> ait teknik özellikler aşağıdaki gibi saptanmıştır.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730"/>
        <w:gridCol w:w="1929"/>
      </w:tblGrid>
      <w:tr w:rsidR="00C25DFA" w:rsidRPr="00C25DFA" w14:paraId="3A947473" w14:textId="77777777" w:rsidTr="00197F20">
        <w:trPr>
          <w:jc w:val="center"/>
        </w:trPr>
        <w:tc>
          <w:tcPr>
            <w:tcW w:w="4835" w:type="dxa"/>
          </w:tcPr>
          <w:p w14:paraId="568DB851" w14:textId="70EB09D3" w:rsidR="00C25DFA" w:rsidRPr="00C25DFA" w:rsidRDefault="00761D49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</w:t>
            </w:r>
            <w:r w:rsidR="00C25DFA" w:rsidRPr="00C25DFA">
              <w:rPr>
                <w:rFonts w:ascii="Arial" w:hAnsi="Arial" w:cs="Arial"/>
                <w:bCs/>
                <w:sz w:val="22"/>
                <w:szCs w:val="22"/>
              </w:rPr>
              <w:t xml:space="preserve"> Uzunluğu</w:t>
            </w:r>
          </w:p>
        </w:tc>
        <w:tc>
          <w:tcPr>
            <w:tcW w:w="0" w:type="auto"/>
          </w:tcPr>
          <w:p w14:paraId="15E4CEF9" w14:textId="63221BA3" w:rsidR="00C25DFA" w:rsidRPr="00C25DFA" w:rsidRDefault="00C25DFA" w:rsidP="00C25DFA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</w:tcPr>
          <w:p w14:paraId="05E4EE3E" w14:textId="73616B5E" w:rsidR="00C25DFA" w:rsidRPr="00C25DFA" w:rsidRDefault="00C25DFA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55FAEEC8" w14:textId="77777777" w:rsidTr="00197F20">
        <w:trPr>
          <w:jc w:val="center"/>
        </w:trPr>
        <w:tc>
          <w:tcPr>
            <w:tcW w:w="4835" w:type="dxa"/>
          </w:tcPr>
          <w:p w14:paraId="6C4434E5" w14:textId="75677BA4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Genişliği</w:t>
            </w:r>
          </w:p>
        </w:tc>
        <w:tc>
          <w:tcPr>
            <w:tcW w:w="0" w:type="auto"/>
          </w:tcPr>
          <w:p w14:paraId="0FAE1C39" w14:textId="47AB63A2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57D60E5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5DB5E1E" w14:textId="77777777" w:rsidTr="00197F20">
        <w:trPr>
          <w:jc w:val="center"/>
        </w:trPr>
        <w:tc>
          <w:tcPr>
            <w:tcW w:w="4835" w:type="dxa"/>
          </w:tcPr>
          <w:p w14:paraId="16A75456" w14:textId="1E23B197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</w:t>
            </w:r>
            <w:r w:rsidR="00C25DFA">
              <w:rPr>
                <w:rFonts w:ascii="Arial" w:hAnsi="Arial" w:cs="Arial"/>
                <w:bCs/>
                <w:sz w:val="22"/>
                <w:szCs w:val="22"/>
              </w:rPr>
              <w:t xml:space="preserve"> Çapı (D)</w:t>
            </w:r>
          </w:p>
        </w:tc>
        <w:tc>
          <w:tcPr>
            <w:tcW w:w="0" w:type="auto"/>
          </w:tcPr>
          <w:p w14:paraId="2C5B2D60" w14:textId="2881C72F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0E89650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F350AAD" w14:textId="77777777" w:rsidTr="00197F20">
        <w:trPr>
          <w:jc w:val="center"/>
        </w:trPr>
        <w:tc>
          <w:tcPr>
            <w:tcW w:w="4835" w:type="dxa"/>
          </w:tcPr>
          <w:p w14:paraId="3BB683AF" w14:textId="717CD196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 Mili Çapı</w:t>
            </w:r>
          </w:p>
        </w:tc>
        <w:tc>
          <w:tcPr>
            <w:tcW w:w="0" w:type="auto"/>
          </w:tcPr>
          <w:p w14:paraId="63E6A1CB" w14:textId="7B93058B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1D9E50E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26814E60" w14:textId="77777777" w:rsidTr="00197F20">
        <w:trPr>
          <w:jc w:val="center"/>
        </w:trPr>
        <w:tc>
          <w:tcPr>
            <w:tcW w:w="4835" w:type="dxa"/>
            <w:vAlign w:val="center"/>
          </w:tcPr>
          <w:p w14:paraId="46B5FC87" w14:textId="6A5D7937" w:rsid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Besleme Ağzı Aktif Uzunluğu</w:t>
            </w:r>
          </w:p>
        </w:tc>
        <w:tc>
          <w:tcPr>
            <w:tcW w:w="0" w:type="auto"/>
            <w:vAlign w:val="center"/>
          </w:tcPr>
          <w:p w14:paraId="4EA5B14A" w14:textId="1F003129" w:rsid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58F5373" w14:textId="14AE1FF0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A3825CF" w14:textId="77777777" w:rsidR="009F0030" w:rsidRPr="00672FB9" w:rsidRDefault="009F0030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5D0CDD13" w14:textId="05347926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 w:rsidR="00761D49">
        <w:rPr>
          <w:rFonts w:ascii="Arial" w:hAnsi="Arial" w:cs="Arial"/>
          <w:sz w:val="22"/>
          <w:szCs w:val="22"/>
        </w:rPr>
        <w:t>8422</w:t>
      </w:r>
      <w:r w:rsidRPr="00197F20">
        <w:rPr>
          <w:rFonts w:ascii="Arial" w:hAnsi="Arial" w:cs="Arial"/>
          <w:sz w:val="22"/>
          <w:szCs w:val="22"/>
        </w:rPr>
        <w:t xml:space="preserve"> esaslarına göre, uygulama ve </w:t>
      </w:r>
      <w:r w:rsidR="00DE1DFA" w:rsidRPr="00197F20">
        <w:rPr>
          <w:rFonts w:ascii="Arial" w:hAnsi="Arial" w:cs="Arial"/>
          <w:sz w:val="22"/>
          <w:szCs w:val="22"/>
        </w:rPr>
        <w:t>laboratuvar</w:t>
      </w:r>
      <w:r w:rsidRPr="00197F20">
        <w:rPr>
          <w:rFonts w:ascii="Arial" w:hAnsi="Arial" w:cs="Arial"/>
          <w:sz w:val="22"/>
          <w:szCs w:val="22"/>
        </w:rPr>
        <w:t xml:space="preserve"> deneyleri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197F20">
        <w:rPr>
          <w:rFonts w:ascii="Arial" w:hAnsi="Arial" w:cs="Arial"/>
          <w:sz w:val="22"/>
          <w:szCs w:val="22"/>
        </w:rPr>
        <w:t xml:space="preserve"> Bölümünde yapılmıştır. Uygulamada biyolojik materyal olarak </w:t>
      </w:r>
      <w:r>
        <w:rPr>
          <w:rFonts w:ascii="Arial" w:hAnsi="Arial" w:cs="Arial"/>
          <w:sz w:val="22"/>
          <w:szCs w:val="22"/>
        </w:rPr>
        <w:t>…..</w:t>
      </w:r>
      <w:r w:rsidRPr="00197F20">
        <w:rPr>
          <w:rFonts w:ascii="Arial" w:hAnsi="Arial" w:cs="Arial"/>
          <w:sz w:val="22"/>
          <w:szCs w:val="22"/>
        </w:rPr>
        <w:t xml:space="preserve"> kullanılmıştır. Denemelerde başlanılmadan önce materyalden TS 1</w:t>
      </w:r>
      <w:r w:rsidR="00761D49">
        <w:rPr>
          <w:rFonts w:ascii="Arial" w:hAnsi="Arial" w:cs="Arial"/>
          <w:sz w:val="22"/>
          <w:szCs w:val="22"/>
        </w:rPr>
        <w:t>8422</w:t>
      </w:r>
      <w:r w:rsidRPr="00197F20">
        <w:rPr>
          <w:rFonts w:ascii="Arial" w:hAnsi="Arial" w:cs="Arial"/>
          <w:sz w:val="22"/>
          <w:szCs w:val="22"/>
        </w:rPr>
        <w:t xml:space="preserve">’göre örnek alınmış ve </w:t>
      </w:r>
      <w:r w:rsidR="00761D49">
        <w:rPr>
          <w:rFonts w:ascii="Arial" w:hAnsi="Arial" w:cs="Arial"/>
          <w:sz w:val="22"/>
          <w:szCs w:val="22"/>
        </w:rPr>
        <w:t>Bantlı götürücü</w:t>
      </w:r>
      <w:r w:rsidRPr="00197F20">
        <w:rPr>
          <w:rFonts w:ascii="Arial" w:hAnsi="Arial" w:cs="Arial"/>
          <w:sz w:val="22"/>
          <w:szCs w:val="22"/>
        </w:rPr>
        <w:t xml:space="preserve"> eğimi % olarak saptanmış ve beslemenin tam ve sabit hızda olması sağlanmıştır.</w:t>
      </w:r>
    </w:p>
    <w:p w14:paraId="518A0F26" w14:textId="7777777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 Denemeler sırasında makinenin devir sayısı, güç tüketimi ölçülmüş ve yüklenen materyalden örnekler alınmıştır. </w:t>
      </w:r>
    </w:p>
    <w:p w14:paraId="7691258B" w14:textId="483E3FF3" w:rsid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Devir sayıları kademesiz bir mekanik varyatör yardımıyla ayarlanmış ve mekanik devir ölçer yardımıyla ölçülmüştür. Elektriksel güç tüketimi ise anlık olarak dijital panodan okunmuştur. İletim kapasitesi ve performans deneyleri TS </w:t>
      </w:r>
      <w:r w:rsidR="00761D49">
        <w:rPr>
          <w:rFonts w:ascii="Arial" w:hAnsi="Arial" w:cs="Arial"/>
          <w:sz w:val="22"/>
          <w:szCs w:val="22"/>
        </w:rPr>
        <w:t>8422’</w:t>
      </w:r>
      <w:r w:rsidRPr="00197F20">
        <w:rPr>
          <w:rFonts w:ascii="Arial" w:hAnsi="Arial" w:cs="Arial"/>
          <w:sz w:val="22"/>
          <w:szCs w:val="22"/>
        </w:rPr>
        <w:t>d</w:t>
      </w:r>
      <w:r w:rsidR="00761D49">
        <w:rPr>
          <w:rFonts w:ascii="Arial" w:hAnsi="Arial" w:cs="Arial"/>
          <w:sz w:val="22"/>
          <w:szCs w:val="22"/>
        </w:rPr>
        <w:t>e</w:t>
      </w:r>
      <w:r w:rsidRPr="00197F20">
        <w:rPr>
          <w:rFonts w:ascii="Arial" w:hAnsi="Arial" w:cs="Arial"/>
          <w:sz w:val="22"/>
          <w:szCs w:val="22"/>
        </w:rPr>
        <w:t xml:space="preserve"> öngörüldüğü şekilde gerçekleştirilmiş olup, iletim kapasitesi yüklenen miktarın tartılarak yükleme süresine bölünmesiyle hesaplanmıştır. </w:t>
      </w:r>
    </w:p>
    <w:p w14:paraId="3B06E210" w14:textId="43C04AC5" w:rsidR="00197F20" w:rsidRDefault="00DE1DFA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197F2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</w:t>
      </w:r>
    </w:p>
    <w:p w14:paraId="5D8F0AB5" w14:textId="227BF901" w:rsidR="00055FA2" w:rsidRPr="00672FB9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5C3AE93B" w:rsidR="00D71E48" w:rsidRDefault="00D71E48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 xml:space="preserve">TS </w:t>
      </w:r>
      <w:r w:rsidR="00761D49">
        <w:rPr>
          <w:rFonts w:ascii="Arial" w:hAnsi="Arial" w:cs="Arial"/>
          <w:sz w:val="22"/>
          <w:szCs w:val="22"/>
        </w:rPr>
        <w:t>8422</w:t>
      </w:r>
      <w:r w:rsidR="00197F20" w:rsidRPr="00197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61D49">
        <w:rPr>
          <w:rFonts w:ascii="Arial" w:hAnsi="Arial" w:cs="Arial"/>
          <w:sz w:val="22"/>
          <w:szCs w:val="22"/>
        </w:rPr>
        <w:t>Taşınabilir Bant Konveyörler – Tarımda Kullanılan</w:t>
      </w:r>
      <w:r>
        <w:rPr>
          <w:rFonts w:ascii="Arial" w:hAnsi="Arial" w:cs="Arial"/>
          <w:sz w:val="22"/>
          <w:szCs w:val="22"/>
        </w:rPr>
        <w:t>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002E3022" w14:textId="77F04E5E" w:rsidR="00197F20" w:rsidRDefault="00761D49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Bantlı</w:t>
      </w:r>
      <w:r w:rsidR="00197F20">
        <w:rPr>
          <w:rFonts w:ascii="Arial" w:hAnsi="Arial" w:cs="Arial"/>
          <w:sz w:val="22"/>
          <w:szCs w:val="22"/>
        </w:rPr>
        <w:t xml:space="preserve"> götürücü sert ve düz bir düzlem üzerine yerleştirilerek muayeneler gerçekleştirilmiştir.</w:t>
      </w:r>
    </w:p>
    <w:p w14:paraId="32324149" w14:textId="5AB3CE0B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Performans deneyleri </w:t>
      </w:r>
      <w:r w:rsidR="00761D49">
        <w:rPr>
          <w:rFonts w:ascii="Arial" w:hAnsi="Arial" w:cs="Arial"/>
          <w:sz w:val="22"/>
          <w:szCs w:val="22"/>
        </w:rPr>
        <w:t xml:space="preserve">konveyör kataloğunda belirtilen en büyük eğim açısında </w:t>
      </w:r>
      <w:r>
        <w:rPr>
          <w:rFonts w:ascii="Arial" w:hAnsi="Arial" w:cs="Arial"/>
          <w:sz w:val="22"/>
          <w:szCs w:val="22"/>
        </w:rPr>
        <w:t xml:space="preserve">ve </w:t>
      </w:r>
      <w:r w:rsidR="009619ED">
        <w:rPr>
          <w:rFonts w:ascii="Arial" w:hAnsi="Arial" w:cs="Arial"/>
          <w:sz w:val="22"/>
          <w:szCs w:val="22"/>
        </w:rPr>
        <w:t xml:space="preserve">ürün iletimi için ise </w:t>
      </w:r>
      <w:r>
        <w:rPr>
          <w:rFonts w:ascii="Arial" w:hAnsi="Arial" w:cs="Arial"/>
          <w:sz w:val="22"/>
          <w:szCs w:val="22"/>
        </w:rPr>
        <w:t xml:space="preserve">bin dane ağırlığı …. </w:t>
      </w:r>
      <w:r w:rsidR="009619E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olan … (Buğday, Arpa) 1 saat çalıştırılmıştır.</w:t>
      </w:r>
    </w:p>
    <w:p w14:paraId="392E0E20" w14:textId="766CA7EC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Kapasite </w:t>
      </w:r>
      <w:r w:rsidR="001165B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eneylerinde nakledilecek ürünün her seferinde 1 saat olmak üzere 3 tekerrürlü olarak çalıştırılmıştır.</w:t>
      </w:r>
    </w:p>
    <w:p w14:paraId="5AE5DA2F" w14:textId="683356F7" w:rsidR="00407BDF" w:rsidRDefault="001165B3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Güç deneylerin ise </w:t>
      </w:r>
      <w:r w:rsidR="007E0FED">
        <w:rPr>
          <w:rFonts w:ascii="Arial" w:hAnsi="Arial" w:cs="Arial"/>
          <w:sz w:val="22"/>
          <w:szCs w:val="22"/>
        </w:rPr>
        <w:t>bantlı</w:t>
      </w:r>
      <w:r>
        <w:rPr>
          <w:rFonts w:ascii="Arial" w:hAnsi="Arial" w:cs="Arial"/>
          <w:sz w:val="22"/>
          <w:szCs w:val="22"/>
        </w:rPr>
        <w:t xml:space="preserve"> götürücü katalogda belirtilen en büyük eğim açısında çalıştırılarak güç tüketimi değerleri enerji analizör yardımı ile değerler ölçülmüştür.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097EC8A6" w:rsidR="009F0030" w:rsidRDefault="002A3C1B" w:rsidP="00DE1DFA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r w:rsidR="007E0FED"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</w:t>
      </w:r>
      <w:r w:rsidRPr="002A3C1B">
        <w:rPr>
          <w:rFonts w:ascii="Arial" w:hAnsi="Arial" w:cs="Arial"/>
          <w:sz w:val="22"/>
          <w:szCs w:val="22"/>
        </w:rPr>
        <w:t xml:space="preserve"> </w:t>
      </w:r>
      <w:r w:rsidR="00C300A9">
        <w:rPr>
          <w:rFonts w:ascii="Arial" w:hAnsi="Arial" w:cs="Arial"/>
          <w:sz w:val="22"/>
          <w:szCs w:val="22"/>
        </w:rPr>
        <w:t>….. (Buğday, Arpa) ‘ın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r w:rsidR="007E0FED"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götürücünün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 w:rsidR="00C300A9"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 w:rsidR="00C300A9"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</w:p>
    <w:p w14:paraId="01984C59" w14:textId="77777777" w:rsidR="00DE1DFA" w:rsidRDefault="00DE1DFA" w:rsidP="00DE1DFA">
      <w:pPr>
        <w:pStyle w:val="ListeParagraf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17A9D093" w14:textId="77777777" w:rsidR="009B6910" w:rsidRPr="00672FB9" w:rsidRDefault="00DC6F9F" w:rsidP="00DE1DFA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p w14:paraId="0946B468" w14:textId="1C55E2FD" w:rsidR="001C338B" w:rsidRPr="00E55A5F" w:rsidRDefault="007E0FED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 deneylerinde kullanılan materyale ait bilgiler aşağıda veri</w:t>
      </w:r>
      <w:r w:rsidR="00A164AF">
        <w:rPr>
          <w:rFonts w:ascii="Arial" w:hAnsi="Arial" w:cs="Arial"/>
          <w:sz w:val="22"/>
          <w:szCs w:val="22"/>
        </w:rPr>
        <w:t>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750"/>
        <w:gridCol w:w="1929"/>
      </w:tblGrid>
      <w:tr w:rsidR="00AB5830" w:rsidRPr="00AB5830" w14:paraId="6CB45460" w14:textId="602E6D2E" w:rsidTr="00AB5830">
        <w:trPr>
          <w:jc w:val="center"/>
        </w:trPr>
        <w:tc>
          <w:tcPr>
            <w:tcW w:w="5443" w:type="dxa"/>
            <w:gridSpan w:val="2"/>
          </w:tcPr>
          <w:p w14:paraId="1A5C945C" w14:textId="481ED5C5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Ürüne Ait Bilgiler</w:t>
            </w:r>
          </w:p>
        </w:tc>
        <w:tc>
          <w:tcPr>
            <w:tcW w:w="1929" w:type="dxa"/>
          </w:tcPr>
          <w:p w14:paraId="701F727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1EDD87B4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Materyali</w:t>
            </w:r>
          </w:p>
        </w:tc>
        <w:tc>
          <w:tcPr>
            <w:tcW w:w="0" w:type="auto"/>
          </w:tcPr>
          <w:p w14:paraId="70AD8603" w14:textId="33ABD9F6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538BE45C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Bin Dane Ağırlığı</w:t>
            </w:r>
          </w:p>
        </w:tc>
        <w:tc>
          <w:tcPr>
            <w:tcW w:w="0" w:type="auto"/>
          </w:tcPr>
          <w:p w14:paraId="00A568B1" w14:textId="0D6A1216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63BF8712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Kırık Tane Oranı</w:t>
            </w:r>
          </w:p>
        </w:tc>
        <w:tc>
          <w:tcPr>
            <w:tcW w:w="0" w:type="auto"/>
          </w:tcPr>
          <w:p w14:paraId="1223CCA7" w14:textId="708B4D47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434D4" w:rsidRPr="00AB5830" w14:paraId="52C311C5" w14:textId="77777777" w:rsidTr="00AB5830">
        <w:trPr>
          <w:jc w:val="center"/>
        </w:trPr>
        <w:tc>
          <w:tcPr>
            <w:tcW w:w="4693" w:type="dxa"/>
          </w:tcPr>
          <w:p w14:paraId="572FB1E2" w14:textId="2767A859" w:rsidR="005434D4" w:rsidRDefault="005434D4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Nemi</w:t>
            </w:r>
          </w:p>
        </w:tc>
        <w:tc>
          <w:tcPr>
            <w:tcW w:w="0" w:type="auto"/>
          </w:tcPr>
          <w:p w14:paraId="5BC809F6" w14:textId="510C694A" w:rsidR="005434D4" w:rsidRDefault="005434D4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2432FA8F" w14:textId="64300BE8" w:rsidR="005434D4" w:rsidRPr="00AB5830" w:rsidRDefault="005434D4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E5F3970" w14:textId="69ECC670" w:rsidR="006D08CB" w:rsidRPr="00672FB9" w:rsidRDefault="00DC6F9F" w:rsidP="00E55A5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20CE7898" w:rsidR="006D08CB" w:rsidRPr="00672FB9" w:rsidRDefault="002A3C1B" w:rsidP="00E55A5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 xml:space="preserve">Uygulama denemelerinde, </w:t>
      </w:r>
      <w:r w:rsidR="007E0FED">
        <w:rPr>
          <w:rFonts w:ascii="Arial" w:hAnsi="Arial" w:cs="Arial"/>
          <w:sz w:val="24"/>
        </w:rPr>
        <w:t>bant</w:t>
      </w:r>
      <w:r w:rsidR="00212C42">
        <w:rPr>
          <w:rFonts w:ascii="Arial" w:hAnsi="Arial" w:cs="Arial"/>
          <w:sz w:val="24"/>
        </w:rPr>
        <w:t>lı</w:t>
      </w:r>
      <w:r w:rsidR="00E55A5F">
        <w:rPr>
          <w:rFonts w:ascii="Arial" w:hAnsi="Arial" w:cs="Arial"/>
          <w:sz w:val="24"/>
        </w:rPr>
        <w:t xml:space="preserve"> götürücü … ürünün belli eğim açısında nakledilerek </w:t>
      </w:r>
      <w:r w:rsidRPr="002A3C1B">
        <w:rPr>
          <w:rFonts w:ascii="Arial" w:hAnsi="Arial" w:cs="Arial"/>
          <w:sz w:val="24"/>
        </w:rPr>
        <w:t xml:space="preserve">çalışılmıştır. </w:t>
      </w:r>
      <w:r w:rsidR="00E55A5F">
        <w:rPr>
          <w:rFonts w:ascii="Arial" w:hAnsi="Arial" w:cs="Arial"/>
          <w:sz w:val="24"/>
        </w:rPr>
        <w:t>Deneyler sonucunda elde edilen değerler aşağıda belirtilmiştir</w:t>
      </w:r>
      <w:r w:rsidRPr="002A3C1B">
        <w:rPr>
          <w:rFonts w:ascii="Arial" w:hAnsi="Arial" w:cs="Arial"/>
          <w:sz w:val="24"/>
        </w:rPr>
        <w:t>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901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20E28447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Yükleme Eğimi</w:t>
            </w:r>
          </w:p>
        </w:tc>
        <w:tc>
          <w:tcPr>
            <w:tcW w:w="851" w:type="dxa"/>
          </w:tcPr>
          <w:p w14:paraId="0EE3966A" w14:textId="3B58446A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5A5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6D36A058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Kapasitesi</w:t>
            </w:r>
          </w:p>
        </w:tc>
        <w:tc>
          <w:tcPr>
            <w:tcW w:w="851" w:type="dxa"/>
          </w:tcPr>
          <w:p w14:paraId="4B9CFAA8" w14:textId="38A1C1DE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(t/h)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6E6E1FCF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Güç Tüketimi</w:t>
            </w:r>
          </w:p>
        </w:tc>
        <w:tc>
          <w:tcPr>
            <w:tcW w:w="851" w:type="dxa"/>
          </w:tcPr>
          <w:p w14:paraId="3FCA5EEC" w14:textId="58AEF6F5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54EF7901" w:rsidR="00AB5830" w:rsidRPr="00BC306C" w:rsidRDefault="007E0FED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</w:t>
            </w:r>
            <w:r w:rsidR="00E55A5F">
              <w:rPr>
                <w:rFonts w:ascii="Arial" w:hAnsi="Arial" w:cs="Arial"/>
                <w:sz w:val="22"/>
                <w:szCs w:val="22"/>
              </w:rPr>
              <w:t xml:space="preserve"> Devri</w:t>
            </w:r>
          </w:p>
        </w:tc>
        <w:tc>
          <w:tcPr>
            <w:tcW w:w="851" w:type="dxa"/>
          </w:tcPr>
          <w:p w14:paraId="40320B29" w14:textId="62A90443" w:rsidR="00AB5830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(1/min)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E55A5F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3F7DB150" w14:textId="67BA509F" w:rsidR="002A3C1B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PTO Devri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083103" w14:textId="73926C05" w:rsidR="002A3C1B" w:rsidRP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(1/min)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4D2FF5" w14:textId="0D4812B3" w:rsid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5A5F" w:rsidRPr="00BC306C" w14:paraId="48AE57CB" w14:textId="77777777" w:rsidTr="00E55A5F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60D65DB" w14:textId="7C16EE73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Kırık Tane Oranı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96829" w14:textId="4F921F0A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EDD26D" w14:textId="33BDA3F7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8D59358" w14:textId="1B5BD5ED" w:rsidR="00A76B35" w:rsidRDefault="002A3C1B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DE1DFA">
        <w:rPr>
          <w:rFonts w:ascii="Arial" w:hAnsi="Arial" w:cs="Arial"/>
          <w:b/>
          <w:sz w:val="24"/>
          <w:szCs w:val="24"/>
        </w:rPr>
        <w:t>v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5DFECFAB" w14:textId="5DDDC20A" w:rsid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 w:rsidR="007E0FED">
        <w:rPr>
          <w:rFonts w:ascii="Arial" w:hAnsi="Arial" w:cs="Arial"/>
          <w:sz w:val="22"/>
          <w:szCs w:val="22"/>
        </w:rPr>
        <w:t>8422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0EC205CB" w14:textId="64210CD9" w:rsidR="00D74360" w:rsidRDefault="00352874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D7436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 </w:t>
      </w:r>
    </w:p>
    <w:p w14:paraId="5590371B" w14:textId="77777777" w:rsidR="00352874" w:rsidRDefault="00352874" w:rsidP="00352874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189EE273" w14:textId="03B57818" w:rsidR="00352874" w:rsidRPr="00163285" w:rsidRDefault="00352874" w:rsidP="00352874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bantlı götürücü,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 xml:space="preserve">hareket iletim düzeni, bant sistemi, taşıma düzeni açısından </w:t>
      </w:r>
      <w:r w:rsidRPr="00163285">
        <w:rPr>
          <w:rFonts w:ascii="Arial" w:hAnsi="Arial" w:cs="Arial"/>
          <w:bCs/>
          <w:sz w:val="22"/>
          <w:szCs w:val="22"/>
        </w:rPr>
        <w:t>herhangi bir uygunsuzluk ve kalıcı deformasyon görülmemiştir. Yükleyicinin traktöre bağlanıp sökülmesinde, ayarlanmasında ve kullanılmasında herhangi bir zorlukla karşılaşılmamıştır. Bakım, ayar ve kullanım kolaylığı yönünden uygun bir yapıya sahip olduğu görülmüştür.</w:t>
      </w:r>
    </w:p>
    <w:p w14:paraId="68E8A938" w14:textId="5261C234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SONUÇ</w:t>
      </w:r>
    </w:p>
    <w:p w14:paraId="4B1AFF13" w14:textId="1A4C2114" w:rsidR="00297B1B" w:rsidRP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E55A5F">
        <w:rPr>
          <w:rFonts w:ascii="Arial" w:hAnsi="Arial" w:cs="Arial"/>
          <w:sz w:val="22"/>
          <w:szCs w:val="22"/>
        </w:rPr>
        <w:t xml:space="preserve">” tarafından imal edilen taşınabilir </w:t>
      </w:r>
      <w:r w:rsidR="007E0FED">
        <w:rPr>
          <w:rFonts w:ascii="Arial" w:hAnsi="Arial" w:cs="Arial"/>
          <w:sz w:val="22"/>
          <w:szCs w:val="22"/>
        </w:rPr>
        <w:t>bantlı götürücü</w:t>
      </w:r>
      <w:r w:rsidRPr="00E55A5F">
        <w:rPr>
          <w:rFonts w:ascii="Arial" w:hAnsi="Arial" w:cs="Arial"/>
          <w:sz w:val="22"/>
          <w:szCs w:val="22"/>
        </w:rPr>
        <w:t xml:space="preserve"> </w:t>
      </w:r>
      <w:r w:rsidR="007E0FED">
        <w:rPr>
          <w:rFonts w:ascii="Arial" w:hAnsi="Arial" w:cs="Arial"/>
          <w:sz w:val="22"/>
          <w:szCs w:val="22"/>
        </w:rPr>
        <w:t>m</w:t>
      </w:r>
      <w:r w:rsidRPr="00E55A5F">
        <w:rPr>
          <w:rFonts w:ascii="Arial" w:hAnsi="Arial" w:cs="Arial"/>
          <w:sz w:val="22"/>
          <w:szCs w:val="22"/>
        </w:rPr>
        <w:t xml:space="preserve">akine, denemesi yapılan koşullardaki sonuçlara göre tarım tekniği yönünden </w:t>
      </w:r>
      <w:r w:rsidRPr="00E55A5F">
        <w:rPr>
          <w:rFonts w:ascii="Arial" w:hAnsi="Arial" w:cs="Arial"/>
          <w:b/>
          <w:bCs/>
          <w:sz w:val="22"/>
          <w:szCs w:val="22"/>
        </w:rPr>
        <w:t>UYGUN</w:t>
      </w:r>
      <w:r w:rsidRPr="00E55A5F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4AD5FE12" w14:textId="24817627" w:rsidR="007E0FED" w:rsidRPr="007E0FED" w:rsidRDefault="007E0FED" w:rsidP="007E0FED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7E0FED">
        <w:rPr>
          <w:rFonts w:ascii="Arial" w:hAnsi="Arial" w:cs="Arial"/>
          <w:bCs/>
          <w:sz w:val="22"/>
          <w:szCs w:val="22"/>
        </w:rPr>
        <w:t>TS 8422</w:t>
      </w:r>
      <w:r w:rsidR="00A7011B">
        <w:rPr>
          <w:rFonts w:ascii="Arial" w:hAnsi="Arial" w:cs="Arial"/>
          <w:bCs/>
          <w:sz w:val="22"/>
          <w:szCs w:val="22"/>
        </w:rPr>
        <w:t>:</w:t>
      </w:r>
      <w:r w:rsidRPr="007E0FED">
        <w:rPr>
          <w:rFonts w:ascii="Arial" w:hAnsi="Arial" w:cs="Arial"/>
          <w:bCs/>
          <w:sz w:val="22"/>
          <w:szCs w:val="22"/>
        </w:rPr>
        <w:t xml:space="preserve"> Taşınabilir ban</w:t>
      </w:r>
      <w:r w:rsidR="00352874">
        <w:rPr>
          <w:rFonts w:ascii="Arial" w:hAnsi="Arial" w:cs="Arial"/>
          <w:bCs/>
          <w:sz w:val="22"/>
          <w:szCs w:val="22"/>
        </w:rPr>
        <w:t>t</w:t>
      </w:r>
      <w:r w:rsidRPr="007E0FED">
        <w:rPr>
          <w:rFonts w:ascii="Arial" w:hAnsi="Arial" w:cs="Arial"/>
          <w:bCs/>
          <w:sz w:val="22"/>
          <w:szCs w:val="22"/>
        </w:rPr>
        <w:t xml:space="preserve"> konveyörler (tarımda kullanılan)</w:t>
      </w:r>
    </w:p>
    <w:p w14:paraId="3EB812D5" w14:textId="159E6962" w:rsidR="007E0FED" w:rsidRDefault="007E0FED" w:rsidP="007E0FED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7E0FED">
        <w:rPr>
          <w:rFonts w:ascii="Arial" w:hAnsi="Arial" w:cs="Arial"/>
          <w:bCs/>
          <w:sz w:val="22"/>
          <w:szCs w:val="22"/>
        </w:rPr>
        <w:t>TS EN ISO 14890</w:t>
      </w:r>
      <w:r w:rsidR="00A7011B">
        <w:rPr>
          <w:rFonts w:ascii="Arial" w:hAnsi="Arial" w:cs="Arial"/>
          <w:bCs/>
          <w:sz w:val="22"/>
          <w:szCs w:val="22"/>
        </w:rPr>
        <w:t>:</w:t>
      </w:r>
      <w:r w:rsidRPr="007E0FED">
        <w:rPr>
          <w:rFonts w:ascii="Arial" w:hAnsi="Arial" w:cs="Arial"/>
          <w:bCs/>
          <w:sz w:val="22"/>
          <w:szCs w:val="22"/>
        </w:rPr>
        <w:t xml:space="preserve"> Konveyör bantları - Genel amaçlar için - Kauçuk veya plâstik kaplanmış tekstil karkaslı konveyör bantlarının özellikleri</w:t>
      </w:r>
    </w:p>
    <w:p w14:paraId="2C7BFDB9" w14:textId="77777777" w:rsidR="007E0FED" w:rsidRDefault="007E0F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---------------------------------oOo</w:t>
            </w:r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9"/>
      <w:footerReference w:type="default" r:id="rId10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BDAD" w14:textId="77777777" w:rsidR="002E2230" w:rsidRDefault="002E2230" w:rsidP="00892A9D">
      <w:r>
        <w:separator/>
      </w:r>
    </w:p>
  </w:endnote>
  <w:endnote w:type="continuationSeparator" w:id="0">
    <w:p w14:paraId="6379A4AE" w14:textId="77777777" w:rsidR="002E2230" w:rsidRDefault="002E2230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6C21A6A1" w:rsidR="005B68FB" w:rsidRDefault="005B68F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02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76E5" w14:textId="77777777" w:rsidR="002E2230" w:rsidRDefault="002E2230" w:rsidP="00892A9D">
      <w:r>
        <w:separator/>
      </w:r>
    </w:p>
  </w:footnote>
  <w:footnote w:type="continuationSeparator" w:id="0">
    <w:p w14:paraId="09CBA8F2" w14:textId="77777777" w:rsidR="002E2230" w:rsidRDefault="002E2230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Deney rapor no</w:t>
          </w:r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4786"/>
    <w:rsid w:val="000674DB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165B3"/>
    <w:rsid w:val="00125F9A"/>
    <w:rsid w:val="0012648E"/>
    <w:rsid w:val="00135781"/>
    <w:rsid w:val="00152654"/>
    <w:rsid w:val="0015478D"/>
    <w:rsid w:val="00173394"/>
    <w:rsid w:val="001800C4"/>
    <w:rsid w:val="001947A7"/>
    <w:rsid w:val="00197F20"/>
    <w:rsid w:val="001B2A08"/>
    <w:rsid w:val="001B4DB1"/>
    <w:rsid w:val="001C338B"/>
    <w:rsid w:val="001D56F4"/>
    <w:rsid w:val="001D7F8E"/>
    <w:rsid w:val="002013E8"/>
    <w:rsid w:val="00212C42"/>
    <w:rsid w:val="00225961"/>
    <w:rsid w:val="00232030"/>
    <w:rsid w:val="002350B8"/>
    <w:rsid w:val="002435A9"/>
    <w:rsid w:val="00252D22"/>
    <w:rsid w:val="00252D56"/>
    <w:rsid w:val="00254F86"/>
    <w:rsid w:val="00297B1B"/>
    <w:rsid w:val="002A3C1B"/>
    <w:rsid w:val="002B3103"/>
    <w:rsid w:val="002C7DFE"/>
    <w:rsid w:val="002D1AE6"/>
    <w:rsid w:val="002D573E"/>
    <w:rsid w:val="002E2230"/>
    <w:rsid w:val="002E469A"/>
    <w:rsid w:val="002E4BE4"/>
    <w:rsid w:val="002F5CE7"/>
    <w:rsid w:val="00305EAA"/>
    <w:rsid w:val="0030791B"/>
    <w:rsid w:val="00320DE3"/>
    <w:rsid w:val="003249B4"/>
    <w:rsid w:val="00326DE9"/>
    <w:rsid w:val="00352874"/>
    <w:rsid w:val="003555E4"/>
    <w:rsid w:val="003672A7"/>
    <w:rsid w:val="00367E1E"/>
    <w:rsid w:val="003A4840"/>
    <w:rsid w:val="003D24D1"/>
    <w:rsid w:val="003E24F3"/>
    <w:rsid w:val="003E46F8"/>
    <w:rsid w:val="004034B4"/>
    <w:rsid w:val="00407786"/>
    <w:rsid w:val="00407BDF"/>
    <w:rsid w:val="00422173"/>
    <w:rsid w:val="00430A58"/>
    <w:rsid w:val="00453776"/>
    <w:rsid w:val="0045399A"/>
    <w:rsid w:val="0045439F"/>
    <w:rsid w:val="00460C00"/>
    <w:rsid w:val="00461072"/>
    <w:rsid w:val="00473477"/>
    <w:rsid w:val="00474A4D"/>
    <w:rsid w:val="00480B58"/>
    <w:rsid w:val="00487753"/>
    <w:rsid w:val="004A2120"/>
    <w:rsid w:val="004A557F"/>
    <w:rsid w:val="004B5027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4D4"/>
    <w:rsid w:val="00543794"/>
    <w:rsid w:val="00566BDF"/>
    <w:rsid w:val="00566C1A"/>
    <w:rsid w:val="00591774"/>
    <w:rsid w:val="00595A90"/>
    <w:rsid w:val="005A628B"/>
    <w:rsid w:val="005B68FB"/>
    <w:rsid w:val="005C5C9A"/>
    <w:rsid w:val="005E01AE"/>
    <w:rsid w:val="005E0F90"/>
    <w:rsid w:val="005E52AA"/>
    <w:rsid w:val="005F6137"/>
    <w:rsid w:val="006134A2"/>
    <w:rsid w:val="0063113A"/>
    <w:rsid w:val="00637FCB"/>
    <w:rsid w:val="0064016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B7154"/>
    <w:rsid w:val="006C46D1"/>
    <w:rsid w:val="006C5DBE"/>
    <w:rsid w:val="006D08CB"/>
    <w:rsid w:val="006D0997"/>
    <w:rsid w:val="006F12E6"/>
    <w:rsid w:val="00706EAC"/>
    <w:rsid w:val="00712E49"/>
    <w:rsid w:val="007139C6"/>
    <w:rsid w:val="007176E7"/>
    <w:rsid w:val="0072383A"/>
    <w:rsid w:val="00742BA3"/>
    <w:rsid w:val="00761D49"/>
    <w:rsid w:val="0076290A"/>
    <w:rsid w:val="0079141E"/>
    <w:rsid w:val="007B04FF"/>
    <w:rsid w:val="007B1D37"/>
    <w:rsid w:val="007C56EE"/>
    <w:rsid w:val="007D08B0"/>
    <w:rsid w:val="007E0FED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1C51"/>
    <w:rsid w:val="00943F87"/>
    <w:rsid w:val="00946F05"/>
    <w:rsid w:val="00947078"/>
    <w:rsid w:val="00950AC6"/>
    <w:rsid w:val="00952A16"/>
    <w:rsid w:val="00956CED"/>
    <w:rsid w:val="009619ED"/>
    <w:rsid w:val="00967E65"/>
    <w:rsid w:val="00992E5D"/>
    <w:rsid w:val="009A1304"/>
    <w:rsid w:val="009A2C33"/>
    <w:rsid w:val="009B4CDF"/>
    <w:rsid w:val="009B6910"/>
    <w:rsid w:val="009C6521"/>
    <w:rsid w:val="009C72EE"/>
    <w:rsid w:val="009D4A2E"/>
    <w:rsid w:val="009F0030"/>
    <w:rsid w:val="009F4D5C"/>
    <w:rsid w:val="009F71B5"/>
    <w:rsid w:val="00A04BAB"/>
    <w:rsid w:val="00A164AF"/>
    <w:rsid w:val="00A37A97"/>
    <w:rsid w:val="00A43B1A"/>
    <w:rsid w:val="00A449F1"/>
    <w:rsid w:val="00A51C98"/>
    <w:rsid w:val="00A6726C"/>
    <w:rsid w:val="00A7011B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B01F8"/>
    <w:rsid w:val="00BC306C"/>
    <w:rsid w:val="00BC3EF0"/>
    <w:rsid w:val="00BC4E6F"/>
    <w:rsid w:val="00BC52E4"/>
    <w:rsid w:val="00BD71C0"/>
    <w:rsid w:val="00BE1608"/>
    <w:rsid w:val="00C06730"/>
    <w:rsid w:val="00C07A91"/>
    <w:rsid w:val="00C15437"/>
    <w:rsid w:val="00C17D6E"/>
    <w:rsid w:val="00C25DFA"/>
    <w:rsid w:val="00C300A9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67D0"/>
    <w:rsid w:val="00D71E48"/>
    <w:rsid w:val="00D72349"/>
    <w:rsid w:val="00D737DA"/>
    <w:rsid w:val="00D74360"/>
    <w:rsid w:val="00D759B2"/>
    <w:rsid w:val="00D8389C"/>
    <w:rsid w:val="00DA40F7"/>
    <w:rsid w:val="00DB15A8"/>
    <w:rsid w:val="00DB502B"/>
    <w:rsid w:val="00DC32FE"/>
    <w:rsid w:val="00DC4039"/>
    <w:rsid w:val="00DC6F9F"/>
    <w:rsid w:val="00DD48EA"/>
    <w:rsid w:val="00DE1DFA"/>
    <w:rsid w:val="00DE54A7"/>
    <w:rsid w:val="00DF4BC2"/>
    <w:rsid w:val="00DF73B6"/>
    <w:rsid w:val="00E0695A"/>
    <w:rsid w:val="00E1553F"/>
    <w:rsid w:val="00E21B5F"/>
    <w:rsid w:val="00E220C1"/>
    <w:rsid w:val="00E46A46"/>
    <w:rsid w:val="00E4709F"/>
    <w:rsid w:val="00E55A5F"/>
    <w:rsid w:val="00E62030"/>
    <w:rsid w:val="00E6364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B7255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A3C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8ABDA-828C-473B-A090-02EA7D712555}"/>
</file>

<file path=customXml/itemProps2.xml><?xml version="1.0" encoding="utf-8"?>
<ds:datastoreItem xmlns:ds="http://schemas.openxmlformats.org/officeDocument/2006/customXml" ds:itemID="{AAC30692-A19F-4B07-9A8E-4A54DF08FE63}"/>
</file>

<file path=customXml/itemProps3.xml><?xml version="1.0" encoding="utf-8"?>
<ds:datastoreItem xmlns:ds="http://schemas.openxmlformats.org/officeDocument/2006/customXml" ds:itemID="{88ED3435-ED54-45FB-8983-1010E3604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Çiğdem İRİ</cp:lastModifiedBy>
  <cp:revision>2</cp:revision>
  <cp:lastPrinted>2022-04-04T12:51:00Z</cp:lastPrinted>
  <dcterms:created xsi:type="dcterms:W3CDTF">2024-02-29T08:00:00Z</dcterms:created>
  <dcterms:modified xsi:type="dcterms:W3CDTF">2024-02-29T08:00:00Z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